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BC74F" w14:textId="77777777" w:rsidR="008A3702" w:rsidRPr="00E35D35" w:rsidRDefault="001B6025" w:rsidP="002D12FD">
      <w:pPr>
        <w:spacing w:before="0" w:after="0" w:line="240" w:lineRule="auto"/>
        <w:contextualSpacing/>
        <w:jc w:val="both"/>
        <w:rPr>
          <w:rFonts w:ascii="Times New Roman" w:hAnsi="Times New Roman" w:cs="Times New Roman"/>
          <w:b/>
          <w:sz w:val="22"/>
          <w:szCs w:val="22"/>
        </w:rPr>
      </w:pPr>
      <w:bookmarkStart w:id="0" w:name="_GoBack"/>
      <w:bookmarkEnd w:id="0"/>
      <w:r w:rsidRPr="00E35D35">
        <w:rPr>
          <w:rFonts w:ascii="Times New Roman" w:hAnsi="Times New Roman" w:cs="Times New Roman"/>
          <w:b/>
          <w:sz w:val="22"/>
          <w:szCs w:val="22"/>
        </w:rPr>
        <w:t xml:space="preserve">Zestawienie nieuwzględnionych uwag zgłoszonych w ramach opiniowania </w:t>
      </w:r>
      <w:r w:rsidR="008A3702" w:rsidRPr="00E35D35">
        <w:rPr>
          <w:rFonts w:ascii="Times New Roman" w:hAnsi="Times New Roman" w:cs="Times New Roman"/>
          <w:b/>
          <w:sz w:val="22"/>
          <w:szCs w:val="22"/>
        </w:rPr>
        <w:t xml:space="preserve">projektu ustawy o otwartych danych i ponownym wykorzystywaniu informacji </w:t>
      </w:r>
      <w:r w:rsidRPr="00E35D35">
        <w:rPr>
          <w:rFonts w:ascii="Times New Roman" w:hAnsi="Times New Roman" w:cs="Times New Roman"/>
          <w:b/>
          <w:sz w:val="22"/>
          <w:szCs w:val="22"/>
        </w:rPr>
        <w:t>sektora</w:t>
      </w:r>
      <w:r w:rsidR="008A3702" w:rsidRPr="00E35D35">
        <w:rPr>
          <w:rFonts w:ascii="Times New Roman" w:hAnsi="Times New Roman" w:cs="Times New Roman"/>
          <w:b/>
          <w:sz w:val="22"/>
          <w:szCs w:val="22"/>
        </w:rPr>
        <w:t xml:space="preserve"> publicznego (UC47)</w:t>
      </w:r>
    </w:p>
    <w:p w14:paraId="4CE9FE03" w14:textId="77777777" w:rsidR="008A3702" w:rsidRPr="00E35D35" w:rsidRDefault="008A3702" w:rsidP="008A3702">
      <w:pPr>
        <w:spacing w:before="0" w:after="0" w:line="240" w:lineRule="auto"/>
        <w:contextualSpacing/>
        <w:rPr>
          <w:rFonts w:ascii="Times New Roman" w:hAnsi="Times New Roman" w:cs="Times New Roman"/>
          <w:b/>
          <w:sz w:val="22"/>
          <w:szCs w:val="22"/>
        </w:rPr>
      </w:pPr>
    </w:p>
    <w:p w14:paraId="47C28A89" w14:textId="77777777" w:rsidR="008A3702" w:rsidRPr="00E35D35" w:rsidRDefault="008A3702" w:rsidP="008A3702">
      <w:pPr>
        <w:spacing w:before="0" w:after="0" w:line="240" w:lineRule="auto"/>
        <w:contextualSpacing/>
        <w:rPr>
          <w:rFonts w:cstheme="minorHAnsi"/>
          <w:sz w:val="22"/>
          <w:szCs w:val="22"/>
        </w:rPr>
      </w:pP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8A3702" w:rsidRPr="00E35D35" w14:paraId="0FEDEDA5" w14:textId="77777777" w:rsidTr="00F73818">
        <w:tc>
          <w:tcPr>
            <w:tcW w:w="676" w:type="dxa"/>
            <w:shd w:val="clear" w:color="auto" w:fill="auto"/>
          </w:tcPr>
          <w:p w14:paraId="0D49949F" w14:textId="77777777" w:rsidR="008A3702" w:rsidRPr="00E35D35" w:rsidRDefault="008A3702" w:rsidP="008A3702">
            <w:pPr>
              <w:spacing w:before="0" w:after="0" w:line="240" w:lineRule="auto"/>
              <w:ind w:left="720"/>
              <w:contextualSpacing/>
              <w:rPr>
                <w:rFonts w:ascii="Times New Roman" w:eastAsia="Calibri" w:hAnsi="Times New Roman" w:cs="Times New Roman"/>
                <w:sz w:val="22"/>
                <w:szCs w:val="22"/>
              </w:rPr>
            </w:pPr>
            <w:r w:rsidRPr="00E35D35">
              <w:rPr>
                <w:rFonts w:ascii="Times New Roman" w:eastAsia="Calibri" w:hAnsi="Times New Roman" w:cs="Times New Roman"/>
                <w:sz w:val="22"/>
                <w:szCs w:val="22"/>
              </w:rPr>
              <w:t>LP</w:t>
            </w:r>
          </w:p>
        </w:tc>
        <w:tc>
          <w:tcPr>
            <w:tcW w:w="1968" w:type="dxa"/>
            <w:shd w:val="clear" w:color="auto" w:fill="auto"/>
            <w:vAlign w:val="center"/>
          </w:tcPr>
          <w:p w14:paraId="5AD74BFC"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r w:rsidRPr="00E35D35">
              <w:rPr>
                <w:rFonts w:ascii="Times New Roman" w:eastAsiaTheme="minorHAnsi" w:hAnsi="Times New Roman" w:cs="Times New Roman"/>
                <w:b/>
                <w:sz w:val="22"/>
                <w:szCs w:val="22"/>
                <w:lang w:eastAsia="en-US"/>
              </w:rPr>
              <w:t>Podmiot zgłaszający uwagę</w:t>
            </w:r>
          </w:p>
          <w:p w14:paraId="108AF38B"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p>
        </w:tc>
        <w:tc>
          <w:tcPr>
            <w:tcW w:w="1526" w:type="dxa"/>
            <w:shd w:val="clear" w:color="auto" w:fill="auto"/>
            <w:vAlign w:val="center"/>
          </w:tcPr>
          <w:p w14:paraId="3DADCBAD"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r w:rsidRPr="00E35D35">
              <w:rPr>
                <w:rFonts w:ascii="Times New Roman" w:eastAsiaTheme="minorHAnsi" w:hAnsi="Times New Roman" w:cs="Times New Roman"/>
                <w:b/>
                <w:sz w:val="22"/>
                <w:szCs w:val="22"/>
                <w:lang w:eastAsia="en-US"/>
              </w:rPr>
              <w:t>Jednostka redakcyjna</w:t>
            </w:r>
          </w:p>
          <w:p w14:paraId="4F6B7DD2"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p>
        </w:tc>
        <w:tc>
          <w:tcPr>
            <w:tcW w:w="5323" w:type="dxa"/>
            <w:shd w:val="clear" w:color="auto" w:fill="auto"/>
            <w:vAlign w:val="center"/>
          </w:tcPr>
          <w:p w14:paraId="69C6B030" w14:textId="77777777" w:rsidR="008A3702" w:rsidRPr="00E35D35" w:rsidRDefault="008A3702" w:rsidP="008A3702">
            <w:pPr>
              <w:spacing w:before="0" w:after="0" w:line="240" w:lineRule="auto"/>
              <w:jc w:val="center"/>
              <w:rPr>
                <w:rFonts w:ascii="Times New Roman" w:eastAsiaTheme="minorHAnsi" w:hAnsi="Times New Roman" w:cs="Times New Roman"/>
                <w:b/>
                <w:sz w:val="22"/>
                <w:szCs w:val="22"/>
                <w:lang w:eastAsia="en-US"/>
              </w:rPr>
            </w:pPr>
            <w:r w:rsidRPr="00E35D35">
              <w:rPr>
                <w:rFonts w:ascii="Times New Roman" w:eastAsiaTheme="minorHAnsi" w:hAnsi="Times New Roman" w:cs="Times New Roman"/>
                <w:b/>
                <w:sz w:val="22"/>
                <w:szCs w:val="22"/>
                <w:lang w:eastAsia="en-US"/>
              </w:rPr>
              <w:t>Treść uwagi</w:t>
            </w:r>
          </w:p>
        </w:tc>
        <w:tc>
          <w:tcPr>
            <w:tcW w:w="4785" w:type="dxa"/>
            <w:shd w:val="clear" w:color="auto" w:fill="auto"/>
            <w:vAlign w:val="center"/>
          </w:tcPr>
          <w:p w14:paraId="0662058C"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r w:rsidRPr="00E35D35">
              <w:rPr>
                <w:rFonts w:ascii="Times New Roman" w:eastAsiaTheme="minorHAnsi" w:hAnsi="Times New Roman" w:cs="Times New Roman"/>
                <w:b/>
                <w:sz w:val="22"/>
                <w:szCs w:val="22"/>
                <w:lang w:eastAsia="en-US"/>
              </w:rPr>
              <w:t xml:space="preserve">Stanowisko Kancelarii Prezesa Rady Ministrów </w:t>
            </w:r>
          </w:p>
          <w:p w14:paraId="797B72BE" w14:textId="77777777" w:rsidR="008A3702" w:rsidRPr="00E35D35" w:rsidRDefault="008A3702" w:rsidP="008A3702">
            <w:pPr>
              <w:spacing w:before="0" w:after="0" w:line="240" w:lineRule="auto"/>
              <w:rPr>
                <w:rFonts w:ascii="Times New Roman" w:eastAsiaTheme="minorHAnsi" w:hAnsi="Times New Roman" w:cs="Times New Roman"/>
                <w:b/>
                <w:sz w:val="22"/>
                <w:szCs w:val="22"/>
                <w:lang w:eastAsia="en-US"/>
              </w:rPr>
            </w:pPr>
          </w:p>
        </w:tc>
      </w:tr>
      <w:tr w:rsidR="008A3702" w:rsidRPr="00E35D35" w14:paraId="52646813" w14:textId="77777777" w:rsidTr="00F73818">
        <w:tc>
          <w:tcPr>
            <w:tcW w:w="676" w:type="dxa"/>
            <w:shd w:val="clear" w:color="auto" w:fill="auto"/>
          </w:tcPr>
          <w:p w14:paraId="35C287EB"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2E505F6" w14:textId="77777777" w:rsidR="008A3702" w:rsidRPr="00E35D35" w:rsidRDefault="00933290" w:rsidP="008A3702">
            <w:pPr>
              <w:spacing w:before="0" w:after="0" w:line="240" w:lineRule="auto"/>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 xml:space="preserve">Główny Urząd Statystyczny </w:t>
            </w:r>
          </w:p>
        </w:tc>
        <w:tc>
          <w:tcPr>
            <w:tcW w:w="1526" w:type="dxa"/>
            <w:shd w:val="clear" w:color="auto" w:fill="auto"/>
          </w:tcPr>
          <w:p w14:paraId="27225BB3" w14:textId="77777777" w:rsidR="008A3702" w:rsidRPr="00E35D35" w:rsidRDefault="00E35D35" w:rsidP="008A3702">
            <w:pPr>
              <w:spacing w:before="0" w:after="0" w:line="240" w:lineRule="auto"/>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Art. 2 pkt 2</w:t>
            </w:r>
          </w:p>
          <w:p w14:paraId="6C24B7BF" w14:textId="77777777" w:rsidR="00E35D35" w:rsidRPr="00E35D35" w:rsidRDefault="00E35D35" w:rsidP="008A3702">
            <w:pPr>
              <w:spacing w:before="0" w:after="0" w:line="240" w:lineRule="auto"/>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Art. 26 pkt 1 lit. d</w:t>
            </w:r>
          </w:p>
        </w:tc>
        <w:tc>
          <w:tcPr>
            <w:tcW w:w="5323" w:type="dxa"/>
            <w:shd w:val="clear" w:color="auto" w:fill="auto"/>
          </w:tcPr>
          <w:p w14:paraId="57AA036F" w14:textId="77777777" w:rsidR="00E35D35" w:rsidRPr="00E35D35" w:rsidRDefault="00E35D35" w:rsidP="00E35D35">
            <w:pPr>
              <w:spacing w:before="0" w:after="160" w:line="259"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W projektowanej ustawie nie określono, co należy rozumieć pod pojęciem danych statystycznych, o których mowa np. w art. 2 pkt 2, art. 26 pkt 1 lit. d. Należy zwrócić uwagę, że w polskim systemie prawnym pojęcie to zdefiniowane jest w art. 2 pkt 1a ustawy z dnia 29 czerwca 1995 r. o statystyce publicznej, która jest ustawą podstawową, określającą zasady i tworzącą podstawy rzetelnego, obiektywnego, profesjonalnego i niezależnego prowadzenia badań statystycznych statystyki publicznej, których wyniki mają charakter oficjalnych danych statystycznych. Przywołana ustawa ustala również organizację i tryb prowadzenia tych badań i zakres związanych z nimi obowiązków.</w:t>
            </w:r>
          </w:p>
          <w:p w14:paraId="3052ACA4" w14:textId="77777777" w:rsidR="00E35D35" w:rsidRPr="00E35D35" w:rsidRDefault="00E35D35" w:rsidP="00E35D35">
            <w:pPr>
              <w:spacing w:before="0" w:after="160" w:line="259"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Mając na uwadze powyższe uwarunkowania prawne pojęcie „danych statystycznych” zawarte w przepisach projektowanej ustawy powinno być tożsame z definicją danych statystycznych, o której mowa w art. 2 pkt 1a ustawy z dnia 29 czerwca 1995 r. o statystyce publicznej – dlatego konieczne jest w art. 2 projektowanej ustawy po pkt 4 dodanie pkt 4a w brzmieniu:</w:t>
            </w:r>
          </w:p>
          <w:p w14:paraId="6EB5D7F5" w14:textId="77777777" w:rsidR="00E35D35" w:rsidRPr="00E35D35" w:rsidRDefault="00E35D35" w:rsidP="00E35D35">
            <w:pPr>
              <w:spacing w:before="0" w:after="160" w:line="259"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„4a) dane statystyczne – dane statystyczne, o których mowa w art. 2 pkt 1a ustawy z dnia 29 czerwca 1995 r. o statystyce publicznej (Dz. U. z 2020 r. poz. 443 i 1486);”.</w:t>
            </w:r>
          </w:p>
          <w:p w14:paraId="512ABDAD" w14:textId="77777777" w:rsidR="00E35D35" w:rsidRDefault="00E35D35" w:rsidP="004A5410">
            <w:pPr>
              <w:spacing w:before="0" w:after="0" w:line="259"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lastRenderedPageBreak/>
              <w:t>Jeżeli jednak pojęcie „danych statystycznych” na potrzeby projektowanej ustawy ma być, zgodnie z intencją ustawodawcy, rozumiane inaczej (albo szerzej), również konieczne jest ustalenie jednoznacznej i wyczerpującej definicji tego pojęcia w art. 2 projektowanej ustawy.</w:t>
            </w:r>
          </w:p>
          <w:p w14:paraId="6FBB706F" w14:textId="77777777" w:rsidR="004A5410" w:rsidRPr="00E35D35" w:rsidRDefault="004A5410" w:rsidP="004A5410">
            <w:pPr>
              <w:spacing w:before="0" w:after="0" w:line="259" w:lineRule="auto"/>
              <w:jc w:val="both"/>
              <w:rPr>
                <w:rFonts w:ascii="Times New Roman" w:eastAsiaTheme="minorHAnsi" w:hAnsi="Times New Roman" w:cs="Times New Roman"/>
                <w:sz w:val="22"/>
                <w:szCs w:val="22"/>
                <w:lang w:eastAsia="en-US"/>
              </w:rPr>
            </w:pPr>
          </w:p>
          <w:p w14:paraId="04D54352" w14:textId="77777777" w:rsidR="00E35D35" w:rsidRPr="00E35D35" w:rsidRDefault="00E35D35" w:rsidP="004A5410">
            <w:pPr>
              <w:spacing w:before="0" w:after="0" w:line="259"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Dodatkowe uwagi GUS zgłoszone po konferencji uzgodnieniowej (pismo z 10.12.2020 r., GUS-GP03.0201.341.2020.97).</w:t>
            </w:r>
          </w:p>
          <w:p w14:paraId="048450F9" w14:textId="77777777" w:rsidR="00E35D35" w:rsidRPr="00E35D35" w:rsidRDefault="00E35D35" w:rsidP="00E35D35">
            <w:pPr>
              <w:spacing w:before="0" w:after="0" w:line="240"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GUS podtrzymuje uwagę zgłoszoną przy piśmie z dnia 11 września 2020 r. (vide uwaga nr 10 w zestawieniu uwag) dotyczącą potrzeby dodania w art. 2 pkt 4a zawierającego definicję „danych statystycznych”, o ile pojęcie to będzie przywoływane w innych przepisach projektowanej ustawy. W takim przypadku definicja „danych statystycznych” powinna otrzymać brzmienie:</w:t>
            </w:r>
          </w:p>
          <w:p w14:paraId="63230C10" w14:textId="77777777" w:rsidR="00E35D35" w:rsidRPr="00E35D35" w:rsidRDefault="00E35D35" w:rsidP="00E35D35">
            <w:pPr>
              <w:spacing w:before="0" w:after="0" w:line="240"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„4a) dane statystyczne – dane statystyczne, o których mowa w art. 2 pkt 1a ustawy z dnia 29 czerwca 1995 r. o statystyce publicznej (Dz. U. z 2020 r. poz. 443 i 1486);”.</w:t>
            </w:r>
          </w:p>
          <w:p w14:paraId="5292B713" w14:textId="77777777" w:rsidR="008A3702" w:rsidRPr="00E35D35" w:rsidRDefault="00E35D35" w:rsidP="00E35D35">
            <w:pPr>
              <w:spacing w:before="0" w:after="0" w:line="240"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Jeżeli natomiast pojęcie „danych statystycznych” miałoby być, zgodnie z intencją ustawodawcy, rozumiane na potrzeby projektowanej ustawy inaczej (albo szerzej), również konieczne byłoby ustalenie jednoznacznej i wyczerpującej definicji tego pojęcia w art. 2 projektowanej ustawy.</w:t>
            </w:r>
          </w:p>
        </w:tc>
        <w:tc>
          <w:tcPr>
            <w:tcW w:w="4785" w:type="dxa"/>
            <w:shd w:val="clear" w:color="auto" w:fill="auto"/>
          </w:tcPr>
          <w:p w14:paraId="61863801" w14:textId="77777777" w:rsidR="00E35D35" w:rsidRPr="00E35D35" w:rsidRDefault="00E35D35" w:rsidP="00E35D35">
            <w:pPr>
              <w:spacing w:before="0" w:after="0" w:line="240"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b/>
                <w:sz w:val="22"/>
                <w:szCs w:val="22"/>
                <w:lang w:eastAsia="en-US"/>
              </w:rPr>
              <w:lastRenderedPageBreak/>
              <w:t xml:space="preserve">Uwaga nieuwzględniona </w:t>
            </w:r>
          </w:p>
          <w:p w14:paraId="751F71FA" w14:textId="77777777" w:rsidR="008A3702" w:rsidRPr="00E35D35" w:rsidRDefault="00E35D35" w:rsidP="00E35D35">
            <w:pPr>
              <w:spacing w:before="0" w:after="0" w:line="240" w:lineRule="auto"/>
              <w:jc w:val="both"/>
              <w:rPr>
                <w:rFonts w:ascii="Times New Roman" w:eastAsiaTheme="minorHAnsi" w:hAnsi="Times New Roman" w:cs="Times New Roman"/>
                <w:sz w:val="22"/>
                <w:szCs w:val="22"/>
                <w:lang w:eastAsia="en-US"/>
              </w:rPr>
            </w:pPr>
            <w:r w:rsidRPr="00E35D35">
              <w:rPr>
                <w:rFonts w:ascii="Times New Roman" w:eastAsiaTheme="minorHAnsi" w:hAnsi="Times New Roman" w:cs="Times New Roman"/>
                <w:sz w:val="22"/>
                <w:szCs w:val="22"/>
                <w:lang w:eastAsia="en-US"/>
              </w:rPr>
              <w:t>Zmianie ulegnie przepis art. 2 pkt 2. W definicji danych badawczych usunięte zostaną przykłady danych badawczych, w tym „dane statystyczne” (zob. uwaga GUS nr 9). W związku z powyższym pojęcie „dane statystyczne” zostanie zastosowane w projekcie ustawy tylko jeden raz, tj. w przepisie upoważniającym do wydania rozporządzenia w sprawie danych o wysokiej wartości. Wyjaśnić jednak należy, że w tym przypadku „dane statystyczne” zostaną tam wskazane jako jedna z tematycznych kategorii zbiorów danych o wysokiej wartości (załącznik I do dyrektywy 2019/1024/UE).</w:t>
            </w:r>
          </w:p>
        </w:tc>
      </w:tr>
      <w:tr w:rsidR="008A3702" w:rsidRPr="00E35D35" w14:paraId="3F8116A1" w14:textId="77777777" w:rsidTr="00F73818">
        <w:tc>
          <w:tcPr>
            <w:tcW w:w="676" w:type="dxa"/>
            <w:shd w:val="clear" w:color="auto" w:fill="auto"/>
          </w:tcPr>
          <w:p w14:paraId="70F97C3D"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E201A1C" w14:textId="77777777" w:rsidR="008A3702" w:rsidRPr="00E35D35" w:rsidRDefault="004A5410" w:rsidP="008A3702">
            <w:pPr>
              <w:spacing w:before="0" w:after="0" w:line="240" w:lineRule="auto"/>
              <w:rPr>
                <w:rFonts w:ascii="Times New Roman" w:eastAsiaTheme="minorHAnsi" w:hAnsi="Times New Roman" w:cs="Times New Roman"/>
                <w:sz w:val="22"/>
                <w:szCs w:val="22"/>
                <w:lang w:eastAsia="en-US"/>
              </w:rPr>
            </w:pPr>
            <w:r w:rsidRPr="004A5410">
              <w:rPr>
                <w:rFonts w:ascii="Times New Roman" w:eastAsiaTheme="minorHAnsi" w:hAnsi="Times New Roman" w:cs="Times New Roman"/>
                <w:sz w:val="22"/>
                <w:szCs w:val="22"/>
                <w:lang w:eastAsia="en-US"/>
              </w:rPr>
              <w:t>Polska Akademia Nauk</w:t>
            </w:r>
          </w:p>
        </w:tc>
        <w:tc>
          <w:tcPr>
            <w:tcW w:w="1526" w:type="dxa"/>
            <w:shd w:val="clear" w:color="auto" w:fill="auto"/>
          </w:tcPr>
          <w:p w14:paraId="20967805" w14:textId="77777777" w:rsidR="008A3702" w:rsidRPr="00E35D35" w:rsidRDefault="004A5410" w:rsidP="008A3702">
            <w:pPr>
              <w:spacing w:before="0" w:after="0" w:line="240" w:lineRule="auto"/>
              <w:rPr>
                <w:rFonts w:ascii="Times New Roman" w:eastAsiaTheme="minorHAnsi" w:hAnsi="Times New Roman" w:cs="Times New Roman"/>
                <w:sz w:val="22"/>
                <w:szCs w:val="22"/>
                <w:lang w:eastAsia="en-US"/>
              </w:rPr>
            </w:pPr>
            <w:r w:rsidRPr="004A5410">
              <w:rPr>
                <w:rFonts w:ascii="Times New Roman" w:eastAsiaTheme="minorHAnsi" w:hAnsi="Times New Roman" w:cs="Times New Roman"/>
                <w:sz w:val="22"/>
                <w:szCs w:val="22"/>
                <w:lang w:eastAsia="en-US"/>
              </w:rPr>
              <w:t>Art. 2 pkt 2</w:t>
            </w:r>
          </w:p>
        </w:tc>
        <w:tc>
          <w:tcPr>
            <w:tcW w:w="5323" w:type="dxa"/>
            <w:shd w:val="clear" w:color="auto" w:fill="auto"/>
          </w:tcPr>
          <w:p w14:paraId="4787151C" w14:textId="77777777" w:rsidR="008A3702" w:rsidRPr="004A5410" w:rsidRDefault="004A5410" w:rsidP="008A3702">
            <w:pPr>
              <w:spacing w:before="0" w:after="0" w:line="240" w:lineRule="auto"/>
              <w:jc w:val="both"/>
              <w:rPr>
                <w:rFonts w:ascii="Times New Roman" w:eastAsiaTheme="minorHAnsi" w:hAnsi="Times New Roman" w:cs="Times New Roman"/>
                <w:sz w:val="22"/>
                <w:szCs w:val="22"/>
                <w:lang w:eastAsia="en-US"/>
              </w:rPr>
            </w:pPr>
            <w:r w:rsidRPr="004A5410">
              <w:rPr>
                <w:rFonts w:ascii="Times New Roman" w:hAnsi="Times New Roman" w:cs="Times New Roman"/>
                <w:sz w:val="22"/>
                <w:szCs w:val="22"/>
              </w:rPr>
              <w:t xml:space="preserve">Jeżeli projektowana ustawa wejdzie w życie, to zmieni ona sposób procedowania przez socjologów. Zwłaszcza biorąc pod uwagę, że zgodnie z kodeksem etyki socjologa „udział w badaniach socjologicznych powinien opierać się na dobrowolnej i świadomej zgodzie badanych. Socjolog ma obowiązek wyjaśnienia czego dotyczyć będzie badanie (…). W przypadku, gdy prawdopodobne jest, że z danych badawczych będą korzystać również inni badacze, należy poinformować o tym badanych oraz uzyskać ich zgodę na to”. Dla wszystkich nowych danych archiwizowanych </w:t>
            </w:r>
            <w:r w:rsidRPr="004A5410">
              <w:rPr>
                <w:rFonts w:ascii="Times New Roman" w:hAnsi="Times New Roman" w:cs="Times New Roman"/>
                <w:sz w:val="22"/>
                <w:szCs w:val="22"/>
              </w:rPr>
              <w:lastRenderedPageBreak/>
              <w:t>w repozytoriach od wejścia w życie ustawy, zgoda uczestników badania musiałaby być dużo szersza niż dotychczas.</w:t>
            </w:r>
          </w:p>
        </w:tc>
        <w:tc>
          <w:tcPr>
            <w:tcW w:w="4785" w:type="dxa"/>
            <w:shd w:val="clear" w:color="auto" w:fill="auto"/>
          </w:tcPr>
          <w:p w14:paraId="24419CFA" w14:textId="77777777" w:rsidR="004A5410" w:rsidRPr="004A5410" w:rsidRDefault="004A5410" w:rsidP="004A5410">
            <w:pPr>
              <w:spacing w:before="0" w:after="0" w:line="240" w:lineRule="auto"/>
              <w:rPr>
                <w:rFonts w:ascii="Times New Roman" w:eastAsiaTheme="minorHAnsi" w:hAnsi="Times New Roman" w:cs="Times New Roman"/>
                <w:b/>
                <w:sz w:val="22"/>
                <w:szCs w:val="22"/>
                <w:lang w:eastAsia="en-US"/>
              </w:rPr>
            </w:pPr>
            <w:r w:rsidRPr="004A5410">
              <w:rPr>
                <w:rFonts w:ascii="Times New Roman" w:eastAsiaTheme="minorHAnsi" w:hAnsi="Times New Roman" w:cs="Times New Roman"/>
                <w:b/>
                <w:sz w:val="22"/>
                <w:szCs w:val="22"/>
                <w:lang w:eastAsia="en-US"/>
              </w:rPr>
              <w:lastRenderedPageBreak/>
              <w:t>Uwaga nieuwzględniona</w:t>
            </w:r>
          </w:p>
          <w:p w14:paraId="042FF971" w14:textId="77777777" w:rsidR="008A3702" w:rsidRPr="00E35D35" w:rsidRDefault="004A5410" w:rsidP="004A5410">
            <w:pPr>
              <w:spacing w:before="0" w:after="0" w:line="240" w:lineRule="auto"/>
              <w:rPr>
                <w:rFonts w:ascii="Times New Roman" w:eastAsiaTheme="minorHAnsi" w:hAnsi="Times New Roman" w:cs="Times New Roman"/>
                <w:sz w:val="22"/>
                <w:szCs w:val="22"/>
                <w:lang w:eastAsia="en-US"/>
              </w:rPr>
            </w:pPr>
            <w:r w:rsidRPr="004A5410">
              <w:rPr>
                <w:rFonts w:ascii="Times New Roman" w:eastAsiaTheme="minorHAnsi" w:hAnsi="Times New Roman" w:cs="Times New Roman"/>
                <w:sz w:val="22"/>
                <w:szCs w:val="22"/>
                <w:lang w:eastAsia="en-US"/>
              </w:rPr>
              <w:t>Uwaga poza zakresem projektowanej ustawy.</w:t>
            </w:r>
          </w:p>
        </w:tc>
      </w:tr>
      <w:tr w:rsidR="008A3702" w:rsidRPr="00E35D35" w14:paraId="63B20468" w14:textId="77777777" w:rsidTr="00F73818">
        <w:tc>
          <w:tcPr>
            <w:tcW w:w="676" w:type="dxa"/>
            <w:shd w:val="clear" w:color="auto" w:fill="auto"/>
          </w:tcPr>
          <w:p w14:paraId="564DE944"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5FABA30" w14:textId="77777777" w:rsidR="008A3702" w:rsidRPr="00E35D35" w:rsidRDefault="00351993" w:rsidP="008A3702">
            <w:pPr>
              <w:spacing w:before="0" w:after="0" w:line="240" w:lineRule="auto"/>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7EC566CD" w14:textId="77777777" w:rsidR="008A3702" w:rsidRPr="00E35D35" w:rsidRDefault="00351993" w:rsidP="008A3702">
            <w:pPr>
              <w:spacing w:before="0" w:after="0" w:line="240" w:lineRule="auto"/>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Art. 2 pkt 6</w:t>
            </w:r>
          </w:p>
        </w:tc>
        <w:tc>
          <w:tcPr>
            <w:tcW w:w="5323" w:type="dxa"/>
            <w:shd w:val="clear" w:color="auto" w:fill="auto"/>
          </w:tcPr>
          <w:p w14:paraId="7605BC7B" w14:textId="77777777" w:rsidR="00351993" w:rsidRPr="00351993" w:rsidRDefault="00351993" w:rsidP="00351993">
            <w:pPr>
              <w:spacing w:before="0" w:after="0" w:line="240" w:lineRule="auto"/>
              <w:jc w:val="both"/>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Proponowana zmiana:</w:t>
            </w:r>
          </w:p>
          <w:p w14:paraId="551CBE2F" w14:textId="77777777" w:rsidR="00351993" w:rsidRPr="00351993" w:rsidRDefault="00351993" w:rsidP="00351993">
            <w:pPr>
              <w:spacing w:before="0" w:after="0" w:line="240" w:lineRule="auto"/>
              <w:jc w:val="both"/>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„6) format otwarty – format pliku, który nie jest powiązany z platformą oraz jest udostępniany bez żadnych ograniczeń, które utrudniałyby ponowne jego wykorzystywanie”.</w:t>
            </w:r>
          </w:p>
          <w:p w14:paraId="4AB8E285" w14:textId="77777777" w:rsidR="00351993" w:rsidRPr="00351993" w:rsidRDefault="00351993" w:rsidP="00351993">
            <w:pPr>
              <w:spacing w:before="0" w:after="0" w:line="240" w:lineRule="auto"/>
              <w:jc w:val="both"/>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Uzasadnienie:</w:t>
            </w:r>
          </w:p>
          <w:p w14:paraId="31D6F32A" w14:textId="77777777" w:rsidR="008A3702" w:rsidRPr="00E35D35" w:rsidRDefault="00351993" w:rsidP="00351993">
            <w:pPr>
              <w:spacing w:before="0" w:after="0" w:line="240" w:lineRule="auto"/>
              <w:jc w:val="both"/>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Dodanie odnośnika „jego” doprecyzowuje, że mowa o formacie pliku.</w:t>
            </w:r>
          </w:p>
        </w:tc>
        <w:tc>
          <w:tcPr>
            <w:tcW w:w="4785" w:type="dxa"/>
            <w:shd w:val="clear" w:color="auto" w:fill="auto"/>
          </w:tcPr>
          <w:p w14:paraId="1E3B6CD9" w14:textId="77777777" w:rsidR="00351993" w:rsidRPr="00351993" w:rsidRDefault="00351993" w:rsidP="00351993">
            <w:pPr>
              <w:spacing w:before="0" w:after="0" w:line="240" w:lineRule="auto"/>
              <w:rPr>
                <w:rFonts w:ascii="Times New Roman" w:eastAsiaTheme="minorHAnsi" w:hAnsi="Times New Roman" w:cs="Times New Roman"/>
                <w:b/>
                <w:sz w:val="22"/>
                <w:szCs w:val="22"/>
                <w:lang w:eastAsia="en-US"/>
              </w:rPr>
            </w:pPr>
            <w:r w:rsidRPr="00351993">
              <w:rPr>
                <w:rFonts w:ascii="Times New Roman" w:eastAsiaTheme="minorHAnsi" w:hAnsi="Times New Roman" w:cs="Times New Roman"/>
                <w:b/>
                <w:sz w:val="22"/>
                <w:szCs w:val="22"/>
                <w:lang w:eastAsia="en-US"/>
              </w:rPr>
              <w:t>Uwaga nieuwzględniona</w:t>
            </w:r>
          </w:p>
          <w:p w14:paraId="68CB8B75" w14:textId="77777777" w:rsidR="008A3702" w:rsidRPr="00E35D35" w:rsidRDefault="00351993" w:rsidP="00351993">
            <w:pPr>
              <w:spacing w:before="0" w:after="0" w:line="240" w:lineRule="auto"/>
              <w:jc w:val="both"/>
              <w:rPr>
                <w:rFonts w:ascii="Times New Roman" w:eastAsiaTheme="minorHAnsi" w:hAnsi="Times New Roman" w:cs="Times New Roman"/>
                <w:sz w:val="22"/>
                <w:szCs w:val="22"/>
                <w:lang w:eastAsia="en-US"/>
              </w:rPr>
            </w:pPr>
            <w:r w:rsidRPr="00351993">
              <w:rPr>
                <w:rFonts w:ascii="Times New Roman" w:eastAsiaTheme="minorHAnsi" w:hAnsi="Times New Roman" w:cs="Times New Roman"/>
                <w:sz w:val="22"/>
                <w:szCs w:val="22"/>
                <w:lang w:eastAsia="en-US"/>
              </w:rPr>
              <w:t>Format otwarty jest to format pliku, który ma ułatwiać ponowne wykorzystywanie ISP.  Ponownie wykorzystywane dotyczy ISP, a nie pliku (zob. definicję ponownego wykorzystywania). Wprowadzenia słowa „jego” prowadziłoby w istocie do sytuacji, w której ponowne wykorzystywanie dotyczyłoby pliku, a nie ISP.</w:t>
            </w:r>
          </w:p>
        </w:tc>
      </w:tr>
      <w:tr w:rsidR="008A3702" w:rsidRPr="00E35D35" w14:paraId="505F6B23" w14:textId="77777777" w:rsidTr="00F73818">
        <w:tc>
          <w:tcPr>
            <w:tcW w:w="676" w:type="dxa"/>
            <w:shd w:val="clear" w:color="auto" w:fill="auto"/>
          </w:tcPr>
          <w:p w14:paraId="3F60021E"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613E07CC" w14:textId="77777777" w:rsidR="008A3702" w:rsidRPr="005D76D5" w:rsidRDefault="008D3B5C" w:rsidP="008A3702">
            <w:pPr>
              <w:spacing w:before="0" w:after="0" w:line="240" w:lineRule="auto"/>
              <w:rPr>
                <w:rFonts w:ascii="Times New Roman" w:eastAsiaTheme="minorHAnsi" w:hAnsi="Times New Roman" w:cs="Times New Roman"/>
                <w:sz w:val="22"/>
                <w:szCs w:val="22"/>
                <w:lang w:eastAsia="en-US"/>
              </w:rPr>
            </w:pPr>
            <w:r w:rsidRPr="005D76D5">
              <w:rPr>
                <w:rFonts w:ascii="Times New Roman" w:hAnsi="Times New Roman" w:cs="Times New Roman"/>
                <w:sz w:val="22"/>
                <w:szCs w:val="22"/>
              </w:rPr>
              <w:t>Narodowy Instytut Muzealnictwa i Ochrony Zbiorów</w:t>
            </w:r>
          </w:p>
        </w:tc>
        <w:tc>
          <w:tcPr>
            <w:tcW w:w="1526" w:type="dxa"/>
            <w:shd w:val="clear" w:color="auto" w:fill="auto"/>
          </w:tcPr>
          <w:p w14:paraId="23BE0137" w14:textId="77777777" w:rsidR="008D3B5C" w:rsidRDefault="008D3B5C" w:rsidP="008D3B5C">
            <w:pPr>
              <w:spacing w:before="0" w:after="0" w:line="259"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Art. 2 pkt 13</w:t>
            </w:r>
          </w:p>
          <w:p w14:paraId="4B41683B" w14:textId="77777777" w:rsidR="008A3702" w:rsidRPr="00E35D35" w:rsidRDefault="008D3B5C" w:rsidP="008D3B5C">
            <w:pPr>
              <w:spacing w:before="0" w:after="0" w:line="259"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Art. 8 ust. 2</w:t>
            </w:r>
          </w:p>
        </w:tc>
        <w:tc>
          <w:tcPr>
            <w:tcW w:w="5323" w:type="dxa"/>
            <w:shd w:val="clear" w:color="auto" w:fill="auto"/>
          </w:tcPr>
          <w:p w14:paraId="274883B1" w14:textId="77777777" w:rsidR="008A3702" w:rsidRPr="00E35D35" w:rsidRDefault="008D3B5C" w:rsidP="008A3702">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Wątpliwości budzi kwestia udostępniania zasobów pomiędzy muzeami stanowiącymi podmioty zobowiązane ustawą. W myśl obecnie obowiązującej ustawy, jak i nowego projektu nie dochodzi do ponownego wykorzystywanie informacji w przypadku wykonywania zadań publicznych. Decydujące znaczenie ma więc właściwa wykładnia kryterium wykonywania zadania publicznego w muzeach, która – z uwagi na swój generalny charakter – może prowadzić do licznych nadużyć w relacjach między instytucjami. Sytuacja dotyczy stosowania między muzeami opłat wyższych za udostepnienie informacji, niż określonych w ustawie re-use. Przeczy to zasadzie równego traktowania. (patrz ekspertyza s. 167 „Ponowne udostępnianie ISP pomiędzy instytucjami kultury”).</w:t>
            </w:r>
          </w:p>
        </w:tc>
        <w:tc>
          <w:tcPr>
            <w:tcW w:w="4785" w:type="dxa"/>
            <w:shd w:val="clear" w:color="auto" w:fill="auto"/>
          </w:tcPr>
          <w:p w14:paraId="23F0D221" w14:textId="77777777" w:rsidR="008D3B5C" w:rsidRPr="008D3B5C" w:rsidRDefault="008D3B5C" w:rsidP="008D3B5C">
            <w:pPr>
              <w:spacing w:before="0" w:after="0" w:line="240" w:lineRule="auto"/>
              <w:rPr>
                <w:rFonts w:ascii="Times New Roman" w:eastAsiaTheme="minorHAnsi" w:hAnsi="Times New Roman" w:cs="Times New Roman"/>
                <w:b/>
                <w:sz w:val="22"/>
                <w:szCs w:val="22"/>
                <w:lang w:eastAsia="en-US"/>
              </w:rPr>
            </w:pPr>
            <w:r w:rsidRPr="008D3B5C">
              <w:rPr>
                <w:rFonts w:ascii="Times New Roman" w:eastAsiaTheme="minorHAnsi" w:hAnsi="Times New Roman" w:cs="Times New Roman"/>
                <w:b/>
                <w:sz w:val="22"/>
                <w:szCs w:val="22"/>
                <w:lang w:eastAsia="en-US"/>
              </w:rPr>
              <w:t>Uwaga nieuwzględniona</w:t>
            </w:r>
          </w:p>
          <w:p w14:paraId="68B9F1A3" w14:textId="77777777" w:rsidR="008D3B5C" w:rsidRPr="008D3B5C" w:rsidRDefault="008D3B5C" w:rsidP="008D3B5C">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Definicja ponownego wykorzystywania stanowi implementację art. 2 pkt 11 dyrektywy 2019/1024/UE. Ponownym wykorzystywanie w rozumieniu ustawowym nie jest w związku z tym udostępnianie lub przekazanie ISP przez podmiot wykonujący zadania publiczne innemu podmiotowi wykonującemu zadania publiczne wyłącznie w celu realizacji takich zadań.</w:t>
            </w:r>
          </w:p>
          <w:p w14:paraId="4077D627" w14:textId="77777777" w:rsidR="008A3702" w:rsidRPr="00E35D35" w:rsidRDefault="008D3B5C" w:rsidP="008D3B5C">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Wymiana ISP pomiędzy muzeami, której celem jest realizacja zadań publicznych nie jest ponownym wykorzystywaniem. W związku z tym przepisy projektowanej ustawy (w tym przepisy dot. opłat i zasad ponownego wykorzystywania ISP) nie będą znajdować zastosowania. Regulacje dot. opłat nakładanych przez muzea w ramach współpracy (prowadzonej w ramach realizacji zadań publicznych) są poza zakresem projektowanej ustawy.</w:t>
            </w:r>
          </w:p>
        </w:tc>
      </w:tr>
      <w:tr w:rsidR="008A3702" w:rsidRPr="00E35D35" w14:paraId="5A029EBF" w14:textId="77777777" w:rsidTr="00F73818">
        <w:tc>
          <w:tcPr>
            <w:tcW w:w="676" w:type="dxa"/>
            <w:shd w:val="clear" w:color="auto" w:fill="auto"/>
          </w:tcPr>
          <w:p w14:paraId="779DF6CD"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212158E" w14:textId="77777777" w:rsidR="008A3702" w:rsidRPr="00E35D35" w:rsidRDefault="008D3B5C" w:rsidP="008A3702">
            <w:pPr>
              <w:spacing w:before="0" w:after="0" w:line="240"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Urząd Ochrony Konkurencji i Konsumentów</w:t>
            </w:r>
          </w:p>
        </w:tc>
        <w:tc>
          <w:tcPr>
            <w:tcW w:w="1526" w:type="dxa"/>
            <w:shd w:val="clear" w:color="auto" w:fill="auto"/>
          </w:tcPr>
          <w:p w14:paraId="0AD19E77" w14:textId="77777777" w:rsidR="008A3702" w:rsidRPr="00E35D35" w:rsidRDefault="008D3B5C" w:rsidP="008A3702">
            <w:pPr>
              <w:spacing w:before="0" w:after="0" w:line="240"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Art. 2</w:t>
            </w:r>
          </w:p>
        </w:tc>
        <w:tc>
          <w:tcPr>
            <w:tcW w:w="5323" w:type="dxa"/>
            <w:shd w:val="clear" w:color="auto" w:fill="auto"/>
          </w:tcPr>
          <w:p w14:paraId="26B8DF5A" w14:textId="77777777" w:rsidR="008A3702" w:rsidRPr="00E35D35" w:rsidRDefault="008D3B5C" w:rsidP="008A3702">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 xml:space="preserve">W słowniczku pojęć ustawowych nie zostało uwzględnione pojęcie danych osobowych, o których mowa w art. 2 pkt 1 oraz art. 14 pkt 4 projektu ustawy w przeciwieństwie do słowniczka definicji zawartych w art. 2 dyrektywy Parlamentu Europejskiego i Rady (UE) </w:t>
            </w:r>
            <w:r w:rsidRPr="008D3B5C">
              <w:rPr>
                <w:rFonts w:ascii="Times New Roman" w:eastAsiaTheme="minorHAnsi" w:hAnsi="Times New Roman" w:cs="Times New Roman"/>
                <w:sz w:val="22"/>
                <w:szCs w:val="22"/>
                <w:lang w:eastAsia="en-US"/>
              </w:rPr>
              <w:lastRenderedPageBreak/>
              <w:t>2016/679 (zwanej dalej „dyrektywą 2019/1024”), w którym pojęcie to zostało dookreślone poprzez odpowiednie odesłanie do definicji art. 4 pkt 1 rozporządzenia (UE) 2016/679. W związku z powyższym, wydaje się celowym uzupełnienie katalogu definicji ustawowych o pojęcie „danych osobowych”.</w:t>
            </w:r>
          </w:p>
        </w:tc>
        <w:tc>
          <w:tcPr>
            <w:tcW w:w="4785" w:type="dxa"/>
            <w:shd w:val="clear" w:color="auto" w:fill="auto"/>
          </w:tcPr>
          <w:p w14:paraId="1D5D38EF" w14:textId="77777777" w:rsidR="008D3B5C" w:rsidRPr="008D3B5C" w:rsidRDefault="008D3B5C" w:rsidP="008D3B5C">
            <w:pPr>
              <w:spacing w:before="0" w:after="0" w:line="240" w:lineRule="auto"/>
              <w:jc w:val="both"/>
              <w:rPr>
                <w:rFonts w:ascii="Times New Roman" w:eastAsiaTheme="minorHAnsi" w:hAnsi="Times New Roman" w:cs="Times New Roman"/>
                <w:b/>
                <w:sz w:val="22"/>
                <w:szCs w:val="22"/>
                <w:lang w:eastAsia="en-US"/>
              </w:rPr>
            </w:pPr>
            <w:r w:rsidRPr="008D3B5C">
              <w:rPr>
                <w:rFonts w:ascii="Times New Roman" w:eastAsiaTheme="minorHAnsi" w:hAnsi="Times New Roman" w:cs="Times New Roman"/>
                <w:b/>
                <w:sz w:val="22"/>
                <w:szCs w:val="22"/>
                <w:lang w:eastAsia="en-US"/>
              </w:rPr>
              <w:lastRenderedPageBreak/>
              <w:t>Uwaga nieuwzględniona</w:t>
            </w:r>
          </w:p>
          <w:p w14:paraId="1C5DEABA" w14:textId="77777777" w:rsidR="008A3702" w:rsidRPr="00E35D35" w:rsidRDefault="008D3B5C" w:rsidP="008D3B5C">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 xml:space="preserve">Pojęcie danych osobowych zostało zdefiniowane w  art. 4 pkt 1 rozporządzenia Parlamentu Europejskiego i Rady (UE) 2016/679 z dnia 27 kwietnia 2016 r. w sprawie ochrony osób fizycznych </w:t>
            </w:r>
            <w:r w:rsidRPr="008D3B5C">
              <w:rPr>
                <w:rFonts w:ascii="Times New Roman" w:eastAsiaTheme="minorHAnsi" w:hAnsi="Times New Roman" w:cs="Times New Roman"/>
                <w:sz w:val="22"/>
                <w:szCs w:val="22"/>
                <w:lang w:eastAsia="en-US"/>
              </w:rPr>
              <w:lastRenderedPageBreak/>
              <w:t>w związku z przetwarzaniem danych osobowych i w sprawie swobodnego przepływu takich danych oraz uchylenia dyrektywy 95/46/WE (ogólne rozporządzenie o ochronie danych) (Dz. Urz. UE L 119 z 04.05.2016, str. 1, z późn. zm.). W związku z powyższym nie ma potrzeby jego definiowania w projekcie ustawy.</w:t>
            </w:r>
          </w:p>
        </w:tc>
      </w:tr>
      <w:tr w:rsidR="008A3702" w:rsidRPr="00E35D35" w14:paraId="5C189E6F" w14:textId="77777777" w:rsidTr="00F73818">
        <w:tc>
          <w:tcPr>
            <w:tcW w:w="676" w:type="dxa"/>
            <w:shd w:val="clear" w:color="auto" w:fill="auto"/>
          </w:tcPr>
          <w:p w14:paraId="3190FE49"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278001A" w14:textId="77777777" w:rsidR="008A3702" w:rsidRPr="00E35D35" w:rsidRDefault="008D3B5C" w:rsidP="008A3702">
            <w:pPr>
              <w:spacing w:before="0" w:after="0" w:line="240"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Urząd Ochrony Konkurencji i Konsumentów</w:t>
            </w:r>
          </w:p>
        </w:tc>
        <w:tc>
          <w:tcPr>
            <w:tcW w:w="1526" w:type="dxa"/>
            <w:shd w:val="clear" w:color="auto" w:fill="auto"/>
          </w:tcPr>
          <w:p w14:paraId="70A8A728" w14:textId="77777777" w:rsidR="008A3702" w:rsidRPr="00E35D35" w:rsidRDefault="008D3B5C" w:rsidP="008A3702">
            <w:pPr>
              <w:spacing w:before="0" w:after="0" w:line="240" w:lineRule="auto"/>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Art. 2</w:t>
            </w:r>
          </w:p>
        </w:tc>
        <w:tc>
          <w:tcPr>
            <w:tcW w:w="5323" w:type="dxa"/>
            <w:shd w:val="clear" w:color="auto" w:fill="auto"/>
          </w:tcPr>
          <w:p w14:paraId="11218ED6" w14:textId="77777777" w:rsidR="008A3702" w:rsidRPr="00E35D35" w:rsidRDefault="008D3B5C" w:rsidP="008A3702">
            <w:pPr>
              <w:spacing w:before="0" w:after="0" w:line="240" w:lineRule="auto"/>
              <w:jc w:val="both"/>
              <w:rPr>
                <w:rFonts w:ascii="Times New Roman" w:eastAsiaTheme="minorHAnsi" w:hAnsi="Times New Roman" w:cs="Times New Roman"/>
                <w:sz w:val="22"/>
                <w:szCs w:val="22"/>
                <w:lang w:eastAsia="en-US"/>
              </w:rPr>
            </w:pPr>
            <w:r w:rsidRPr="008D3B5C">
              <w:rPr>
                <w:rFonts w:ascii="Times New Roman" w:eastAsiaTheme="minorHAnsi" w:hAnsi="Times New Roman" w:cs="Times New Roman"/>
                <w:sz w:val="22"/>
                <w:szCs w:val="22"/>
                <w:lang w:eastAsia="en-US"/>
              </w:rPr>
              <w:t xml:space="preserve">Ponadto, należałoby rozważyć wprowadzenie do katalogu objaśnień wyrażeń ustawowych definicji otwartej licencji standardowej. Przedmiotowe wyrażenie zostało wskazane wyłącznie w treści art. 14 ust. 3 projektu ustawy w następującym brzmieniu: „Podmiot zobowiązany może określić warunki ponownego wykorzystywania informacji sektora publicznego stosując standardowe otwarte licencje”. W związku z powyższym celowym jest wyjaśnienie, co należałoby rozumieć przez „standardowe otwarte licencje”. Jest to pojęcie nieostre. Warto też tutaj nadmienić, że dyrektywa 2019/1024 nie przewiduje tzw. „standardowych otwartych licencji”, a jedynie „licencje standardowe” (art. 2 pkt 5 ww. dyrektywy). W akcie unijnym „licencji standardowej” został poświęcony art. 8, który przewiduje zobowiązanie państw członkowskich stosujących licencje, do zapewnienia aby licencje standardowe na ponowne wykorzystywanie dokumentów sektora publicznego, które można dostosować do określonych wniosków o licencje, były dostępne w formacie cyfrowym i mogły być przetwarzane elektronicznie. Ponadto, pkt 44 motywu dyrektywy 2019/1024 przewiduje co prawda istotną rolę jaką mają odgrywać otwarte licencje przy ponownym wykorzystywaniu informacji sektora publicznego (które powinny jak najmniej ograniczać ich ponowne wykorzystywanie), ale ma dotyczyć to „otwartych licencji w formie standardowych licencji publicznych dostępnych w internecie, które umożliwiają swobodny dostęp do </w:t>
            </w:r>
            <w:r w:rsidRPr="008D3B5C">
              <w:rPr>
                <w:rFonts w:ascii="Times New Roman" w:eastAsiaTheme="minorHAnsi" w:hAnsi="Times New Roman" w:cs="Times New Roman"/>
                <w:sz w:val="22"/>
                <w:szCs w:val="22"/>
                <w:lang w:eastAsia="en-US"/>
              </w:rPr>
              <w:lastRenderedPageBreak/>
              <w:t>danych i treści oraz ich swobodne wykorzystywanie, zmienianie i udostępnianie przez wszystkich do dowolnego celu i które opierają się na otwartych formatach danych”. W związku z powyższym, w celu zagwarantowania przejrzystości regulacji, zasadnym wydaje się uwzględnienie w słowniczku definicji ustawowych wyrażenia „otwartych licencji standardowych”.</w:t>
            </w:r>
          </w:p>
        </w:tc>
        <w:tc>
          <w:tcPr>
            <w:tcW w:w="4785" w:type="dxa"/>
            <w:shd w:val="clear" w:color="auto" w:fill="auto"/>
          </w:tcPr>
          <w:p w14:paraId="4F717165" w14:textId="77777777" w:rsidR="006B6BE5" w:rsidRPr="006B6BE5" w:rsidRDefault="006B6BE5" w:rsidP="006B6BE5">
            <w:pPr>
              <w:spacing w:before="0" w:after="0" w:line="240" w:lineRule="auto"/>
              <w:rPr>
                <w:rFonts w:ascii="Times New Roman" w:eastAsiaTheme="minorHAnsi" w:hAnsi="Times New Roman" w:cs="Times New Roman"/>
                <w:b/>
                <w:sz w:val="22"/>
                <w:szCs w:val="22"/>
                <w:lang w:eastAsia="en-US"/>
              </w:rPr>
            </w:pPr>
            <w:r w:rsidRPr="006B6BE5">
              <w:rPr>
                <w:rFonts w:ascii="Times New Roman" w:eastAsiaTheme="minorHAnsi" w:hAnsi="Times New Roman" w:cs="Times New Roman"/>
                <w:b/>
                <w:sz w:val="22"/>
                <w:szCs w:val="22"/>
                <w:lang w:eastAsia="en-US"/>
              </w:rPr>
              <w:lastRenderedPageBreak/>
              <w:t>Uwaga nieuwzględniona</w:t>
            </w:r>
          </w:p>
          <w:p w14:paraId="4E181EBC" w14:textId="77777777" w:rsidR="00C36248" w:rsidRPr="00C36248" w:rsidRDefault="00C36248" w:rsidP="00C36248">
            <w:pPr>
              <w:spacing w:before="0" w:after="0" w:line="240" w:lineRule="auto"/>
              <w:jc w:val="both"/>
              <w:rPr>
                <w:rFonts w:ascii="Times New Roman" w:eastAsiaTheme="minorHAnsi" w:hAnsi="Times New Roman" w:cs="Times New Roman"/>
                <w:sz w:val="22"/>
                <w:szCs w:val="22"/>
                <w:lang w:eastAsia="en-US"/>
              </w:rPr>
            </w:pPr>
            <w:r w:rsidRPr="00C36248">
              <w:rPr>
                <w:rFonts w:ascii="Times New Roman" w:eastAsiaTheme="minorHAnsi" w:hAnsi="Times New Roman" w:cs="Times New Roman"/>
                <w:sz w:val="22"/>
                <w:szCs w:val="22"/>
                <w:lang w:eastAsia="en-US"/>
              </w:rPr>
              <w:t xml:space="preserve">Projektodawca stoi na stanowisku, że formułowanie definicji standardowej otwartej licencji w projekcie ustawy (ustawy z zakresu prawa administracyjnego) nie jest konieczne lub wręcz wskazane. Jako inny przekład pojęcia, które również nie zostało zdefiniowane w przepisach projektowanej ustawy oraz obecnie obowiązującej ustawy z 2016 r. należy wskazać pojęcie oferty (rozdział 9 projektu ustawy).  </w:t>
            </w:r>
          </w:p>
          <w:p w14:paraId="0E5FF37B" w14:textId="77777777" w:rsidR="00C36248" w:rsidRPr="00C36248" w:rsidRDefault="00C36248" w:rsidP="00C36248">
            <w:pPr>
              <w:spacing w:before="0" w:after="0" w:line="240" w:lineRule="auto"/>
              <w:jc w:val="both"/>
              <w:rPr>
                <w:rFonts w:ascii="Times New Roman" w:eastAsiaTheme="minorHAnsi" w:hAnsi="Times New Roman" w:cs="Times New Roman"/>
                <w:sz w:val="22"/>
                <w:szCs w:val="22"/>
                <w:lang w:eastAsia="en-US"/>
              </w:rPr>
            </w:pPr>
            <w:r w:rsidRPr="00C36248">
              <w:rPr>
                <w:rFonts w:ascii="Times New Roman" w:eastAsiaTheme="minorHAnsi" w:hAnsi="Times New Roman" w:cs="Times New Roman"/>
                <w:sz w:val="22"/>
                <w:szCs w:val="22"/>
                <w:lang w:eastAsia="en-US"/>
              </w:rPr>
              <w:t xml:space="preserve">Pojęcie standardowej </w:t>
            </w:r>
            <w:r w:rsidR="00E22FA1">
              <w:rPr>
                <w:rFonts w:ascii="Times New Roman" w:eastAsiaTheme="minorHAnsi" w:hAnsi="Times New Roman" w:cs="Times New Roman"/>
                <w:sz w:val="22"/>
                <w:szCs w:val="22"/>
                <w:lang w:eastAsia="en-US"/>
              </w:rPr>
              <w:t>otwartej licencji pojawia się w </w:t>
            </w:r>
            <w:r w:rsidRPr="00C36248">
              <w:rPr>
                <w:rFonts w:ascii="Times New Roman" w:eastAsiaTheme="minorHAnsi" w:hAnsi="Times New Roman" w:cs="Times New Roman"/>
                <w:sz w:val="22"/>
                <w:szCs w:val="22"/>
                <w:lang w:eastAsia="en-US"/>
              </w:rPr>
              <w:t>projekcie tylko jeden raz. Nie zostało ono również zdefiniowane w dyrektywie 2019/1024/UE.</w:t>
            </w:r>
          </w:p>
          <w:p w14:paraId="120C7FB7" w14:textId="77777777" w:rsidR="006B6BE5" w:rsidRPr="006B6BE5" w:rsidRDefault="00C36248" w:rsidP="00C36248">
            <w:pPr>
              <w:spacing w:before="0" w:after="0" w:line="240" w:lineRule="auto"/>
              <w:jc w:val="both"/>
              <w:rPr>
                <w:rFonts w:ascii="Times New Roman" w:eastAsiaTheme="minorHAnsi" w:hAnsi="Times New Roman" w:cs="Times New Roman"/>
                <w:sz w:val="22"/>
                <w:szCs w:val="22"/>
                <w:lang w:eastAsia="en-US"/>
              </w:rPr>
            </w:pPr>
            <w:r w:rsidRPr="00C36248">
              <w:rPr>
                <w:rFonts w:ascii="Times New Roman" w:eastAsiaTheme="minorHAnsi" w:hAnsi="Times New Roman" w:cs="Times New Roman"/>
                <w:sz w:val="22"/>
                <w:szCs w:val="22"/>
                <w:lang w:eastAsia="en-US"/>
              </w:rPr>
              <w:t>Pojęcie standardowej otwartej licencji zostanie szerzej wyjaśnione w uzasadnieniu do projektu ustawy.</w:t>
            </w:r>
            <w:r w:rsidR="006B6BE5" w:rsidRPr="006B6BE5">
              <w:rPr>
                <w:rFonts w:ascii="Times New Roman" w:eastAsiaTheme="minorHAnsi" w:hAnsi="Times New Roman" w:cs="Times New Roman"/>
                <w:sz w:val="22"/>
                <w:szCs w:val="22"/>
                <w:lang w:eastAsia="en-US"/>
              </w:rPr>
              <w:t xml:space="preserve">W tym miejsce należy wyjaśnić, że w art. 2 pkt 5 dyrektywy 2019/1024/UE zdefiniowane zostało pojęcie licencji standardowej, która oznacza  zbiór  z  góry  określonych  warunków  ponownego  wykorzystywania w  formacie cyfrowym, najlepiej kompatybilny ze standardowymi licencjami publicznymi, dostępnymi w internecie. Natomiast zgodnie z art. 8 ust. 2  dyrektywy w  państwach członkowskich,  w  których  stosowane  są  licencje, państwa członkowskie  zapewniają, aby  licencje standardowe na ponowne wykorzystywanie dokumentów sektora publicznego, które to licencje można dostosować do określonych  wniosków  o  licencje, były  dostępne w  formacie cyfrowym </w:t>
            </w:r>
            <w:r w:rsidR="006B6BE5" w:rsidRPr="006B6BE5">
              <w:rPr>
                <w:rFonts w:ascii="Times New Roman" w:eastAsiaTheme="minorHAnsi" w:hAnsi="Times New Roman" w:cs="Times New Roman"/>
                <w:sz w:val="22"/>
                <w:szCs w:val="22"/>
                <w:lang w:eastAsia="en-US"/>
              </w:rPr>
              <w:lastRenderedPageBreak/>
              <w:t xml:space="preserve">i  mogły być  przetwarzane elektronicznie. Państwa członkowskie zachęcają do stosowania takich licencji standardowych. </w:t>
            </w:r>
          </w:p>
          <w:p w14:paraId="048C54A5" w14:textId="77777777" w:rsidR="006B6BE5" w:rsidRPr="006B6BE5" w:rsidRDefault="006B6BE5" w:rsidP="006B6BE5">
            <w:pPr>
              <w:spacing w:before="0" w:after="0" w:line="240" w:lineRule="auto"/>
              <w:jc w:val="both"/>
              <w:rPr>
                <w:rFonts w:ascii="Times New Roman" w:eastAsiaTheme="minorHAnsi" w:hAnsi="Times New Roman" w:cs="Times New Roman"/>
                <w:sz w:val="22"/>
                <w:szCs w:val="22"/>
                <w:lang w:eastAsia="en-US"/>
              </w:rPr>
            </w:pPr>
            <w:r w:rsidRPr="006B6BE5">
              <w:rPr>
                <w:rFonts w:ascii="Times New Roman" w:eastAsiaTheme="minorHAnsi" w:hAnsi="Times New Roman" w:cs="Times New Roman"/>
                <w:sz w:val="22"/>
                <w:szCs w:val="22"/>
                <w:lang w:eastAsia="en-US"/>
              </w:rPr>
              <w:t xml:space="preserve">W  motywie 44 preambuły do dyrektywy 2019/1024/UE podkreślono, że w przypadku licencjonowania ważną  rolę mogą odgrywać dostępne w internecie licencje standardowe. Państwa członkowskie powinny więc zapewnić dostępność licencji standardowych. Licencje na ponowne wykorzystywanie ISP powinny w każdym przypadku jak najmniej ograniczać ponowne ich wykorzystywanie, na przykład poprzez ograniczenie się do wymogu wskazania źródła. Istotną rolę w tym zakresie powinny odgrywać otwarte licencje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t>
            </w:r>
          </w:p>
          <w:p w14:paraId="1697E428" w14:textId="77777777" w:rsidR="008A3702" w:rsidRPr="00E35D35" w:rsidRDefault="006B6BE5" w:rsidP="006B6BE5">
            <w:pPr>
              <w:spacing w:before="0" w:after="0" w:line="240" w:lineRule="auto"/>
              <w:jc w:val="both"/>
              <w:rPr>
                <w:rFonts w:ascii="Times New Roman" w:eastAsiaTheme="minorHAnsi" w:hAnsi="Times New Roman" w:cs="Times New Roman"/>
                <w:sz w:val="22"/>
                <w:szCs w:val="22"/>
                <w:lang w:eastAsia="en-US"/>
              </w:rPr>
            </w:pPr>
            <w:r w:rsidRPr="006B6BE5">
              <w:rPr>
                <w:rFonts w:ascii="Times New Roman" w:eastAsiaTheme="minorHAnsi" w:hAnsi="Times New Roman" w:cs="Times New Roman"/>
                <w:sz w:val="22"/>
                <w:szCs w:val="22"/>
                <w:lang w:eastAsia="en-US"/>
              </w:rPr>
              <w:t>Umożliwienie udostępniania informacji na podstawie otwartych licencji było również postulowane w wytycznych Komisji Europejskiej z dnia 24 lipca 2014 r. w sprawie zalecanych licencji standardowych, zbiorów danych i opłat za ponowne wykorzystanie dokumentów (2014/C 240/01)</w:t>
            </w:r>
            <w:r w:rsidRPr="006B6BE5">
              <w:rPr>
                <w:rFonts w:ascii="Times New Roman" w:eastAsiaTheme="minorHAnsi" w:hAnsi="Times New Roman" w:cs="Times New Roman"/>
                <w:sz w:val="22"/>
                <w:szCs w:val="22"/>
                <w:vertAlign w:val="superscript"/>
                <w:lang w:eastAsia="en-US"/>
              </w:rPr>
              <w:footnoteReference w:id="1"/>
            </w:r>
            <w:r w:rsidRPr="006B6BE5">
              <w:rPr>
                <w:rFonts w:ascii="Times New Roman" w:eastAsiaTheme="minorHAnsi" w:hAnsi="Times New Roman" w:cs="Times New Roman"/>
                <w:sz w:val="22"/>
                <w:szCs w:val="22"/>
                <w:vertAlign w:val="superscript"/>
                <w:lang w:eastAsia="en-US"/>
              </w:rPr>
              <w:t>)</w:t>
            </w:r>
            <w:r w:rsidRPr="006B6BE5">
              <w:rPr>
                <w:rFonts w:ascii="Times New Roman" w:eastAsiaTheme="minorHAnsi" w:hAnsi="Times New Roman" w:cs="Times New Roman"/>
                <w:sz w:val="22"/>
                <w:szCs w:val="22"/>
                <w:lang w:eastAsia="en-US"/>
              </w:rPr>
              <w:t>. W wytycznych wskazano, że w internecie dostępnych jest kilka licencji zgodnych z zasadami otwartości opisanymi przez Fundację Otwartej Wiedzy (Open Knowledge Foundation</w:t>
            </w:r>
            <w:r w:rsidRPr="006B6BE5">
              <w:rPr>
                <w:rFonts w:ascii="Times New Roman" w:eastAsiaTheme="minorHAnsi" w:hAnsi="Times New Roman" w:cs="Times New Roman"/>
                <w:sz w:val="22"/>
                <w:szCs w:val="22"/>
                <w:vertAlign w:val="superscript"/>
                <w:lang w:eastAsia="en-US"/>
              </w:rPr>
              <w:footnoteReference w:id="2"/>
            </w:r>
            <w:r w:rsidRPr="006B6BE5">
              <w:rPr>
                <w:rFonts w:ascii="Times New Roman" w:eastAsiaTheme="minorHAnsi" w:hAnsi="Times New Roman" w:cs="Times New Roman"/>
                <w:sz w:val="22"/>
                <w:szCs w:val="22"/>
                <w:vertAlign w:val="superscript"/>
                <w:lang w:eastAsia="en-US"/>
              </w:rPr>
              <w:t>)</w:t>
            </w:r>
            <w:r w:rsidRPr="006B6BE5">
              <w:rPr>
                <w:rFonts w:ascii="Times New Roman" w:eastAsiaTheme="minorHAnsi" w:hAnsi="Times New Roman" w:cs="Times New Roman"/>
                <w:sz w:val="22"/>
                <w:szCs w:val="22"/>
                <w:lang w:eastAsia="en-US"/>
              </w:rPr>
              <w:t xml:space="preserve">) służących promowaniu nieograniczonego ponownego wykorzystywania treści internetowych. </w:t>
            </w:r>
            <w:r w:rsidRPr="006B6BE5">
              <w:rPr>
                <w:rFonts w:ascii="Times New Roman" w:eastAsiaTheme="minorHAnsi" w:hAnsi="Times New Roman" w:cs="Times New Roman"/>
                <w:sz w:val="22"/>
                <w:szCs w:val="22"/>
                <w:lang w:eastAsia="en-US"/>
              </w:rPr>
              <w:lastRenderedPageBreak/>
              <w:t>Przetłumaczono je na wiele języków, poddaje się je centralnej aktualizacji i są już powszechnie stosowane na całym świecie. Otwarte licencje standardowe, na przykład najnowsze licencje Creative Commons (CC) (wersja 4.0</w:t>
            </w:r>
            <w:r w:rsidRPr="006B6BE5">
              <w:rPr>
                <w:rFonts w:ascii="Times New Roman" w:eastAsiaTheme="minorHAnsi" w:hAnsi="Times New Roman" w:cs="Times New Roman"/>
                <w:sz w:val="22"/>
                <w:szCs w:val="22"/>
                <w:vertAlign w:val="superscript"/>
                <w:lang w:eastAsia="en-US"/>
              </w:rPr>
              <w:footnoteReference w:id="3"/>
            </w:r>
            <w:r>
              <w:rPr>
                <w:rFonts w:ascii="Times New Roman" w:eastAsiaTheme="minorHAnsi" w:hAnsi="Times New Roman" w:cs="Times New Roman"/>
                <w:sz w:val="22"/>
                <w:szCs w:val="22"/>
                <w:vertAlign w:val="superscript"/>
                <w:lang w:eastAsia="en-US"/>
              </w:rPr>
              <w:t>)</w:t>
            </w:r>
            <w:r w:rsidRPr="006B6BE5">
              <w:rPr>
                <w:rFonts w:ascii="Times New Roman" w:eastAsiaTheme="minorHAnsi" w:hAnsi="Times New Roman" w:cs="Times New Roman"/>
                <w:sz w:val="22"/>
                <w:szCs w:val="22"/>
                <w:lang w:eastAsia="en-US"/>
              </w:rPr>
              <w:t>), mogłyby pozwolić na ponowne wykorzystanie ISP bez konieczności tworzenia i aktualizacji specjalnie opracowanych licencji na poziomie krajowym lub niższym niż krajowy. Spośród nich szczególnie interesujące jest przekazanie do domeny publicznej CC0. Jako narzędzie prawne, które pozwala zrzec się praw autorskich i praw do baz danych dotyczących ISP, zapewnia użytkownikom dużą elastyczność.</w:t>
            </w:r>
          </w:p>
        </w:tc>
      </w:tr>
      <w:tr w:rsidR="008A3702" w:rsidRPr="00E35D35" w14:paraId="036BC088" w14:textId="77777777" w:rsidTr="00F73818">
        <w:tc>
          <w:tcPr>
            <w:tcW w:w="676" w:type="dxa"/>
            <w:shd w:val="clear" w:color="auto" w:fill="auto"/>
          </w:tcPr>
          <w:p w14:paraId="3782E23D"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332E16CD" w14:textId="77777777" w:rsidR="008A3702" w:rsidRPr="00E35D35" w:rsidRDefault="005356A3" w:rsidP="008A3702">
            <w:pPr>
              <w:spacing w:before="0" w:after="0" w:line="240" w:lineRule="auto"/>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0A2D8BBF" w14:textId="77777777" w:rsidR="008A3702" w:rsidRPr="00E35D35" w:rsidRDefault="005356A3" w:rsidP="005356A3">
            <w:pPr>
              <w:spacing w:before="0" w:after="0" w:line="240" w:lineRule="auto"/>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Art. 3 pkt 5 lit. d</w:t>
            </w:r>
          </w:p>
        </w:tc>
        <w:tc>
          <w:tcPr>
            <w:tcW w:w="5323" w:type="dxa"/>
            <w:shd w:val="clear" w:color="auto" w:fill="auto"/>
          </w:tcPr>
          <w:p w14:paraId="1056C6A0" w14:textId="77777777" w:rsidR="008A3702" w:rsidRPr="00E35D35" w:rsidRDefault="005356A3" w:rsidP="008A3702">
            <w:pPr>
              <w:spacing w:before="0" w:after="0" w:line="240" w:lineRule="auto"/>
              <w:jc w:val="both"/>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Projektowany przepis nie określa w sposób wyczerpujący w jaki sposób należy rozumieć pojęcie „dominującego wpływu” bądź to przez wymienienie enumeratywnie wszystkich przypadków uznawanych na gruncie ustawy za wywieranie dominującego wpływu na inny podmiot lub przez odwołanie do tego pojęcia określonego w innych aktach prawnych.</w:t>
            </w:r>
          </w:p>
        </w:tc>
        <w:tc>
          <w:tcPr>
            <w:tcW w:w="4785" w:type="dxa"/>
            <w:shd w:val="clear" w:color="auto" w:fill="auto"/>
          </w:tcPr>
          <w:p w14:paraId="6C0EB05A" w14:textId="77777777" w:rsidR="005356A3" w:rsidRPr="005356A3" w:rsidRDefault="005356A3" w:rsidP="005356A3">
            <w:pPr>
              <w:spacing w:before="0" w:after="0" w:line="240" w:lineRule="auto"/>
              <w:jc w:val="both"/>
              <w:rPr>
                <w:rFonts w:ascii="Times New Roman" w:eastAsiaTheme="minorHAnsi" w:hAnsi="Times New Roman" w:cs="Times New Roman"/>
                <w:b/>
                <w:sz w:val="22"/>
                <w:szCs w:val="22"/>
                <w:lang w:eastAsia="en-US"/>
              </w:rPr>
            </w:pPr>
            <w:r w:rsidRPr="005356A3">
              <w:rPr>
                <w:rFonts w:ascii="Times New Roman" w:eastAsiaTheme="minorHAnsi" w:hAnsi="Times New Roman" w:cs="Times New Roman"/>
                <w:b/>
                <w:sz w:val="22"/>
                <w:szCs w:val="22"/>
                <w:lang w:eastAsia="en-US"/>
              </w:rPr>
              <w:t>Uwaga nieuwzględniona</w:t>
            </w:r>
          </w:p>
          <w:p w14:paraId="0A9070CC" w14:textId="77777777" w:rsidR="005356A3" w:rsidRPr="005356A3" w:rsidRDefault="005356A3" w:rsidP="005356A3">
            <w:pPr>
              <w:spacing w:before="0" w:after="0" w:line="240" w:lineRule="auto"/>
              <w:jc w:val="both"/>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Pojęcie dominującego wpływu zostało wyjaśnione w art. 3 pkt 5 projektu ustawy.</w:t>
            </w:r>
          </w:p>
          <w:p w14:paraId="6243FE93" w14:textId="77777777" w:rsidR="005356A3" w:rsidRPr="005356A3" w:rsidRDefault="005356A3" w:rsidP="005356A3">
            <w:pPr>
              <w:spacing w:before="0" w:after="0" w:line="240" w:lineRule="auto"/>
              <w:jc w:val="both"/>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 xml:space="preserve">Art. 3 pkt 5 implementuje art. 1 ust. 1 lit. b oraz art. 2 pkt 3 dyrektywy 2019/1024/UE. </w:t>
            </w:r>
          </w:p>
          <w:p w14:paraId="658A3DA5" w14:textId="77777777" w:rsidR="008A3702" w:rsidRPr="00E35D35" w:rsidRDefault="005356A3" w:rsidP="005356A3">
            <w:pPr>
              <w:spacing w:before="0" w:after="0" w:line="240" w:lineRule="auto"/>
              <w:jc w:val="both"/>
              <w:rPr>
                <w:rFonts w:ascii="Times New Roman" w:eastAsiaTheme="minorHAnsi" w:hAnsi="Times New Roman" w:cs="Times New Roman"/>
                <w:sz w:val="22"/>
                <w:szCs w:val="22"/>
                <w:lang w:eastAsia="en-US"/>
              </w:rPr>
            </w:pPr>
            <w:r w:rsidRPr="005356A3">
              <w:rPr>
                <w:rFonts w:ascii="Times New Roman" w:eastAsiaTheme="minorHAnsi" w:hAnsi="Times New Roman" w:cs="Times New Roman"/>
                <w:sz w:val="22"/>
                <w:szCs w:val="22"/>
                <w:lang w:eastAsia="en-US"/>
              </w:rPr>
              <w:t xml:space="preserve">Mając na uwadze rozwiązania przyjęte w dyrektywie 2019/1024/UE, w której definicję „przedsiębiorstwa publicznego” sformułowano w oparciu o przepisy dyrektywy Parlamentu Europejskiego i Rady 2014/25/UE z dnia 26 lutego 2014 r. w sprawie udzielania zamówień przez podmioty działające w sektorach gospodarki wodnej, energetyki, transportu i usług pocztowych, uchylającej dyrektywę 2004/17/WE (Dz. Urz. UE L 94 z 28.03.2014, str. 243, z późn. zm), art. 3 pkt 5 projektu ustawy w zasadniczej części wzorowano na art. 5 ust. 1 pkt 2 ustawy z dnia 11 września 2019 r. – Prawo zamówień publicznych (Dz. U. z 2019 r. poz. 2019, z późn. zm.). Wskazana ustawa dokonuje </w:t>
            </w:r>
            <w:r w:rsidRPr="005356A3">
              <w:rPr>
                <w:rFonts w:ascii="Times New Roman" w:eastAsiaTheme="minorHAnsi" w:hAnsi="Times New Roman" w:cs="Times New Roman"/>
                <w:sz w:val="22"/>
                <w:szCs w:val="22"/>
                <w:lang w:eastAsia="en-US"/>
              </w:rPr>
              <w:lastRenderedPageBreak/>
              <w:t>w zakresie swojej regulacji wdrożenia postanowień dyrektyw unijnych dotyczących zamówień publicznych. Pojęcie „dominującego wpływu” zostało w związku z tym zdefiniowane w przepisach projektowanej ustawy w sposób identyczny jak ma to miejsce w ustawie – Prawo zamówień publicznych.</w:t>
            </w:r>
          </w:p>
        </w:tc>
      </w:tr>
      <w:tr w:rsidR="008A3702" w:rsidRPr="00E35D35" w14:paraId="64CEC964" w14:textId="77777777" w:rsidTr="00F73818">
        <w:tc>
          <w:tcPr>
            <w:tcW w:w="676" w:type="dxa"/>
            <w:shd w:val="clear" w:color="auto" w:fill="auto"/>
          </w:tcPr>
          <w:p w14:paraId="57C5CFDC"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5AC41C70" w14:textId="77777777" w:rsidR="008A3702" w:rsidRPr="00C36248" w:rsidRDefault="007520F3" w:rsidP="008A3702">
            <w:pPr>
              <w:spacing w:before="0" w:after="0" w:line="240" w:lineRule="auto"/>
              <w:rPr>
                <w:rFonts w:ascii="Times New Roman" w:eastAsiaTheme="minorHAnsi" w:hAnsi="Times New Roman" w:cs="Times New Roman"/>
                <w:sz w:val="22"/>
                <w:szCs w:val="22"/>
                <w:lang w:eastAsia="en-US"/>
              </w:rPr>
            </w:pPr>
            <w:r w:rsidRPr="00C36248">
              <w:rPr>
                <w:rFonts w:ascii="Times New Roman" w:hAnsi="Times New Roman" w:cs="Times New Roman"/>
                <w:sz w:val="22"/>
                <w:szCs w:val="22"/>
              </w:rPr>
              <w:t>Kancelaria Prezydenta RP</w:t>
            </w:r>
          </w:p>
        </w:tc>
        <w:tc>
          <w:tcPr>
            <w:tcW w:w="1526" w:type="dxa"/>
            <w:shd w:val="clear" w:color="auto" w:fill="auto"/>
          </w:tcPr>
          <w:p w14:paraId="3083D5A5" w14:textId="77777777" w:rsidR="008A3702" w:rsidRPr="00C36248" w:rsidRDefault="007520F3" w:rsidP="007520F3">
            <w:pPr>
              <w:spacing w:before="0" w:after="0" w:line="240" w:lineRule="auto"/>
              <w:rPr>
                <w:rFonts w:ascii="Times New Roman" w:eastAsiaTheme="minorHAnsi" w:hAnsi="Times New Roman" w:cs="Times New Roman"/>
                <w:sz w:val="22"/>
                <w:szCs w:val="22"/>
                <w:lang w:eastAsia="en-US"/>
              </w:rPr>
            </w:pPr>
            <w:r w:rsidRPr="00C36248">
              <w:rPr>
                <w:rFonts w:ascii="Times New Roman" w:hAnsi="Times New Roman" w:cs="Times New Roman"/>
                <w:sz w:val="22"/>
                <w:szCs w:val="22"/>
              </w:rPr>
              <w:t>Art. 6 ust. 1</w:t>
            </w:r>
          </w:p>
        </w:tc>
        <w:tc>
          <w:tcPr>
            <w:tcW w:w="5323" w:type="dxa"/>
            <w:shd w:val="clear" w:color="auto" w:fill="auto"/>
          </w:tcPr>
          <w:p w14:paraId="4CA7F66E" w14:textId="77777777" w:rsidR="008A3702" w:rsidRPr="00E35D35" w:rsidRDefault="007520F3" w:rsidP="008A3702">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Zawarta w art. 6 ust. 1 projektu ustawy ochrona informacji niejawnych oraz innych tajemnic została oparta na krajowym prawie ochrony informacji niejawnej i regulacji dotyczącej tajemnic ustawowo chronionych. Nie podlegają więc ochronie informacje wrażliwe dla bezpieczeństwa publicznego, niebędące informacjami niejawnymi w świetle ustawy o ochronie informacji niejawnej, których ujawnienie jedynie potencjalnie mogłoby wywołać szkodę dla interesu publicznego. Ponadto, rozproszone przepisy prawne dotyczące chronionych tajemnic częstokroć uniemożliwiają jednoznaczne objęcie danej informacji zakresem przedmiotowym konkretnej tajemnicy. W związku z tym, zasadne jest rozważenie wprowadzenia do projektu ustawy, jako aktu kompleksowo wyznaczającego prawne ograniczenia ponownego wykorzystywania, samoistnych przesłanek materialnych ograniczeń w zakresie ochrony informacji niejawnych oraz tajemnic ustawowo chronionych, które uwzględniając ekonomiczne cele ponownego wykorzystywania, jednocześnie ograniczyłyby wykorzystywanie informacji wrażliwych dla bezpieczeństwa publicznego przez sektor prywatny w działalności komercyjnej. Odniesieniem dla formułowania zakresu ograniczeń winny być wartości wskazane w art. 61 ust. 3 Konstytucji RP, tj. ochrona porządku publicznego, bezpieczeństwa lub ważnego interesu gospodarczego państwa.</w:t>
            </w:r>
          </w:p>
        </w:tc>
        <w:tc>
          <w:tcPr>
            <w:tcW w:w="4785" w:type="dxa"/>
            <w:shd w:val="clear" w:color="auto" w:fill="auto"/>
          </w:tcPr>
          <w:p w14:paraId="62A5AB7B" w14:textId="77777777" w:rsidR="007520F3" w:rsidRPr="007520F3" w:rsidRDefault="007520F3" w:rsidP="007520F3">
            <w:pPr>
              <w:spacing w:before="0" w:after="0" w:line="240" w:lineRule="auto"/>
              <w:jc w:val="both"/>
              <w:rPr>
                <w:rFonts w:ascii="Times New Roman" w:eastAsiaTheme="minorHAnsi" w:hAnsi="Times New Roman" w:cs="Times New Roman"/>
                <w:b/>
                <w:sz w:val="22"/>
                <w:szCs w:val="22"/>
                <w:lang w:eastAsia="en-US"/>
              </w:rPr>
            </w:pPr>
            <w:r w:rsidRPr="007520F3">
              <w:rPr>
                <w:rFonts w:ascii="Times New Roman" w:eastAsiaTheme="minorHAnsi" w:hAnsi="Times New Roman" w:cs="Times New Roman"/>
                <w:b/>
                <w:sz w:val="22"/>
                <w:szCs w:val="22"/>
                <w:lang w:eastAsia="en-US"/>
              </w:rPr>
              <w:t xml:space="preserve">Uwaga nieuwzględniona </w:t>
            </w:r>
          </w:p>
          <w:p w14:paraId="08B07F81" w14:textId="77777777" w:rsidR="007520F3" w:rsidRPr="007520F3" w:rsidRDefault="007520F3" w:rsidP="007520F3">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 xml:space="preserve">Uwaga wstępna: art. 6 ust. 1 jest tożsamy z obecnie obowiązującymi przepisami: art. 6 ust. 1 ustawy z 2016 r.. Przepis ten nie budził wątpliwości interpretacyjnych lub  istotnych problemów w stosowaniu przepisów ustawy.   </w:t>
            </w:r>
          </w:p>
          <w:p w14:paraId="761827F7" w14:textId="77777777" w:rsidR="007520F3" w:rsidRPr="007520F3" w:rsidRDefault="007520F3" w:rsidP="007520F3">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Wprowadzenie w projektowanej regulacji samoistnych przesłanek materialnych ograniczeń w zakresie ochrony informacji niejawnych oraz tajemnic ustawowo chronionych, zdaniem projektodawcy nie jest konieczne.</w:t>
            </w:r>
          </w:p>
          <w:p w14:paraId="17C2201A" w14:textId="77777777" w:rsidR="007520F3" w:rsidRPr="007520F3" w:rsidRDefault="007520F3" w:rsidP="007520F3">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 xml:space="preserve">Projekt ustawy wprowadza bardzo szeroką definicję ISP oraz szeroki katalog podmiotów zobowiązanych do udostępniania lub przekazywania ISP do ponownego wykorzystywania. Jednocześnie prawo do ponownego wykorzystywania podlega ograniczeniom wskazanym w ustawie, w tym m.in. ograniczeniom, o których mowa w art. 6 ust. 1 projektu, zgodnie z którym prawo do ponownego wykorzystywania podlega ograniczeniu w zakresie i na zasadach określonych w przepisach o ochronie informacji niejawnych oraz o ochronie innych tajemnic ustawowo chronionych. </w:t>
            </w:r>
          </w:p>
          <w:p w14:paraId="0D56322E" w14:textId="77777777" w:rsidR="007520F3" w:rsidRPr="007520F3" w:rsidRDefault="007520F3" w:rsidP="007520F3">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Katalog ograniczeń prawa do ponownego wykorzystywania obejmuje również inne ograniczenia, w tym m.in.:</w:t>
            </w:r>
          </w:p>
          <w:p w14:paraId="3ECFD30C" w14:textId="77777777" w:rsidR="007520F3" w:rsidRPr="007520F3" w:rsidRDefault="007520F3" w:rsidP="007520F3">
            <w:pPr>
              <w:numPr>
                <w:ilvl w:val="0"/>
                <w:numId w:val="2"/>
              </w:numPr>
              <w:spacing w:before="0" w:after="0" w:line="240" w:lineRule="auto"/>
              <w:ind w:left="317" w:hanging="284"/>
              <w:contextualSpacing/>
              <w:jc w:val="both"/>
              <w:rPr>
                <w:rFonts w:ascii="Times New Roman" w:eastAsia="Calibri" w:hAnsi="Times New Roman" w:cs="Times New Roman"/>
                <w:sz w:val="22"/>
                <w:szCs w:val="22"/>
              </w:rPr>
            </w:pPr>
            <w:r w:rsidRPr="007520F3">
              <w:rPr>
                <w:rFonts w:ascii="Times New Roman" w:eastAsia="Calibri" w:hAnsi="Times New Roman" w:cs="Times New Roman"/>
                <w:sz w:val="22"/>
                <w:szCs w:val="22"/>
              </w:rPr>
              <w:lastRenderedPageBreak/>
              <w:t xml:space="preserve">ograniczenie ze względu na tajemnicę przedsiębiorstwa lub prywatność osoby fizycznej, w tym ochronę danych osobowych </w:t>
            </w:r>
          </w:p>
          <w:p w14:paraId="45E04003" w14:textId="77777777" w:rsidR="007520F3" w:rsidRPr="007520F3" w:rsidRDefault="007520F3" w:rsidP="007520F3">
            <w:pPr>
              <w:numPr>
                <w:ilvl w:val="0"/>
                <w:numId w:val="2"/>
              </w:numPr>
              <w:spacing w:before="0" w:after="0" w:line="240" w:lineRule="auto"/>
              <w:ind w:left="317" w:hanging="284"/>
              <w:contextualSpacing/>
              <w:jc w:val="both"/>
              <w:rPr>
                <w:rFonts w:ascii="Times New Roman" w:eastAsia="Calibri" w:hAnsi="Times New Roman" w:cs="Times New Roman"/>
                <w:sz w:val="22"/>
                <w:szCs w:val="22"/>
              </w:rPr>
            </w:pPr>
            <w:r w:rsidRPr="007520F3">
              <w:rPr>
                <w:rFonts w:ascii="Times New Roman" w:eastAsia="Calibri" w:hAnsi="Times New Roman" w:cs="Times New Roman"/>
                <w:sz w:val="22"/>
                <w:szCs w:val="22"/>
              </w:rPr>
              <w:t>ograniczenie w zakresie informacji będących ISP, do których dostęp jest ograniczony na podstawie innych ustaw,</w:t>
            </w:r>
          </w:p>
          <w:p w14:paraId="470485F6" w14:textId="77777777" w:rsidR="007520F3" w:rsidRPr="007520F3" w:rsidRDefault="007520F3" w:rsidP="007520F3">
            <w:pPr>
              <w:numPr>
                <w:ilvl w:val="0"/>
                <w:numId w:val="2"/>
              </w:numPr>
              <w:spacing w:before="0" w:after="0" w:line="240" w:lineRule="auto"/>
              <w:ind w:left="317" w:hanging="284"/>
              <w:contextualSpacing/>
              <w:jc w:val="both"/>
              <w:rPr>
                <w:rFonts w:ascii="Times New Roman" w:eastAsia="Calibri" w:hAnsi="Times New Roman" w:cs="Times New Roman"/>
                <w:sz w:val="22"/>
                <w:szCs w:val="22"/>
              </w:rPr>
            </w:pPr>
            <w:r w:rsidRPr="007520F3">
              <w:rPr>
                <w:rFonts w:ascii="Times New Roman" w:eastAsia="Calibri" w:hAnsi="Times New Roman" w:cs="Times New Roman"/>
                <w:sz w:val="22"/>
                <w:szCs w:val="22"/>
              </w:rPr>
              <w:t>ograniczenie w zakresie ISP których wytwarzanie przez podmioty zobowiązane nie należy do zakresu ich zadań publicznych określonych prawem,</w:t>
            </w:r>
          </w:p>
          <w:p w14:paraId="1394042A" w14:textId="77777777" w:rsidR="007520F3" w:rsidRPr="007520F3" w:rsidRDefault="007520F3" w:rsidP="007520F3">
            <w:pPr>
              <w:numPr>
                <w:ilvl w:val="0"/>
                <w:numId w:val="2"/>
              </w:numPr>
              <w:spacing w:before="0" w:after="0" w:line="240" w:lineRule="auto"/>
              <w:ind w:left="317" w:hanging="284"/>
              <w:contextualSpacing/>
              <w:jc w:val="both"/>
              <w:rPr>
                <w:rFonts w:ascii="Times New Roman" w:eastAsia="Calibri" w:hAnsi="Times New Roman" w:cs="Times New Roman"/>
                <w:sz w:val="22"/>
                <w:szCs w:val="22"/>
              </w:rPr>
            </w:pPr>
            <w:r w:rsidRPr="007520F3">
              <w:rPr>
                <w:rFonts w:ascii="Times New Roman" w:eastAsia="Calibri" w:hAnsi="Times New Roman" w:cs="Times New Roman"/>
                <w:sz w:val="22"/>
                <w:szCs w:val="22"/>
              </w:rPr>
              <w:t>ograniczenie ze względu na ochronę infrastruktury krytycznej w rozumieniu przepisów ustawy z dnia 26 kwietnia 2007 r. o zarządzaniu kryzysowym (Dz. U. z 2020 r. poz. 1856).</w:t>
            </w:r>
          </w:p>
          <w:p w14:paraId="307071E9" w14:textId="77777777" w:rsidR="008A3702" w:rsidRPr="00E35D35" w:rsidRDefault="007520F3" w:rsidP="007520F3">
            <w:pPr>
              <w:spacing w:before="0" w:after="0" w:line="240" w:lineRule="auto"/>
              <w:jc w:val="both"/>
              <w:rPr>
                <w:rFonts w:ascii="Times New Roman" w:eastAsiaTheme="minorHAnsi" w:hAnsi="Times New Roman" w:cs="Times New Roman"/>
                <w:sz w:val="22"/>
                <w:szCs w:val="22"/>
                <w:lang w:eastAsia="en-US"/>
              </w:rPr>
            </w:pPr>
            <w:r w:rsidRPr="007520F3">
              <w:rPr>
                <w:rFonts w:ascii="Times New Roman" w:eastAsiaTheme="minorHAnsi" w:hAnsi="Times New Roman" w:cs="Times New Roman"/>
                <w:sz w:val="22"/>
                <w:szCs w:val="22"/>
                <w:lang w:eastAsia="en-US"/>
              </w:rPr>
              <w:t>Każdy z podmiotów zobowiązanych, będąc w posiadaniu określonych ISP (najczęściej zgromadzony lub wytworzonych w ramach prowadzonej  działalności), posiada odpowiednią wiedzę o istniejących ograniczeniach prawnych w zakresie ich upubliczniania, w tym w szczególności w zakresie ochrony informacji niejawnych oraz ochrony innych tajemnic ustawowo chronionych. Ponadto z uwagi na szeroki katalog ISP obejmujący bardzo zróżnicowane zasoby danych (np. dane statystyczne, gospodarcze, środowiskowe, materiały archiwalne, zdigitalizowane księgozbiory lub kolekcje dzieł sztuki, informacje publiczne, dane z czujników itd.) nie sposób byłoby zdefiniować w projekcie ustawy wyczerpującego katalogu samoistnych przesłanek materialnych ograniczeń w zakresie ochrony informacji niejawnych oraz tajemnic ustawowo chronionych.</w:t>
            </w:r>
          </w:p>
        </w:tc>
      </w:tr>
      <w:tr w:rsidR="008A3702" w:rsidRPr="00E35D35" w14:paraId="58285EF7" w14:textId="77777777" w:rsidTr="00F73818">
        <w:tc>
          <w:tcPr>
            <w:tcW w:w="676" w:type="dxa"/>
            <w:shd w:val="clear" w:color="auto" w:fill="auto"/>
          </w:tcPr>
          <w:p w14:paraId="6C10E1AF"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5EAEE70A" w14:textId="77777777" w:rsidR="008A3702" w:rsidRPr="00C36248" w:rsidRDefault="000E44F7" w:rsidP="008A3702">
            <w:pPr>
              <w:spacing w:before="0" w:after="0" w:line="240" w:lineRule="auto"/>
              <w:rPr>
                <w:rFonts w:ascii="Times New Roman" w:eastAsiaTheme="minorHAnsi" w:hAnsi="Times New Roman" w:cs="Times New Roman"/>
                <w:sz w:val="22"/>
                <w:szCs w:val="22"/>
                <w:lang w:eastAsia="en-US"/>
              </w:rPr>
            </w:pPr>
            <w:r w:rsidRPr="00C36248">
              <w:rPr>
                <w:rFonts w:ascii="Times New Roman" w:hAnsi="Times New Roman" w:cs="Times New Roman"/>
                <w:sz w:val="22"/>
                <w:szCs w:val="22"/>
              </w:rPr>
              <w:t>Główny Urząd Statystyczny</w:t>
            </w:r>
          </w:p>
        </w:tc>
        <w:tc>
          <w:tcPr>
            <w:tcW w:w="1526" w:type="dxa"/>
            <w:shd w:val="clear" w:color="auto" w:fill="auto"/>
          </w:tcPr>
          <w:p w14:paraId="76E25D32" w14:textId="77777777" w:rsidR="008A3702" w:rsidRPr="00C36248" w:rsidRDefault="000E44F7" w:rsidP="000E44F7">
            <w:pPr>
              <w:spacing w:before="0" w:after="0" w:line="240" w:lineRule="auto"/>
              <w:rPr>
                <w:rFonts w:ascii="Times New Roman" w:eastAsiaTheme="minorHAnsi" w:hAnsi="Times New Roman" w:cs="Times New Roman"/>
                <w:sz w:val="22"/>
                <w:szCs w:val="22"/>
                <w:lang w:eastAsia="en-US"/>
              </w:rPr>
            </w:pPr>
            <w:r w:rsidRPr="00C36248">
              <w:rPr>
                <w:rFonts w:ascii="Times New Roman" w:hAnsi="Times New Roman" w:cs="Times New Roman"/>
                <w:sz w:val="22"/>
                <w:szCs w:val="22"/>
              </w:rPr>
              <w:t>Art. 6 ust. 1</w:t>
            </w:r>
          </w:p>
        </w:tc>
        <w:tc>
          <w:tcPr>
            <w:tcW w:w="5323" w:type="dxa"/>
            <w:shd w:val="clear" w:color="auto" w:fill="auto"/>
          </w:tcPr>
          <w:p w14:paraId="651E3CF3"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W art. 6 projektowanej ustawy GUS proponuje nadanie ust. 1 następującego brzmienia:</w:t>
            </w:r>
          </w:p>
          <w:p w14:paraId="541524CC"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„1. Prawo do ponownego wykorzystywania podlega ograniczeniom w zakresie i na zasadach określonych w przepisach o ochronie informacji niejawnych, o ochronie tajemnicy statystycznej oraz o ochronie innych tajemnic ustawowo chronionych.”.</w:t>
            </w:r>
          </w:p>
          <w:p w14:paraId="4A317CE0"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Proponowane brzmienie ust. 1 jest niezbędne dla podkreślenia znaczenia tajemnicy statystycznej, jako przesłanki uzasadniającej ograniczenie prawa do ponownego wykorzystywania informacji sektora publicznego w zakresie danych statystycznych – projektowana ustawa przewiduje, że dane statystyczne mają być udostępniane jako dane badawcze (art. 2 pkt 2) lub jako dane o wysokiej wartości (art. 2 pkt 4). Uwypuklenie w omawianym przepisie tajemnicy statystycznej ma na celu dostosowanie projektowanej ustawy do dyrektywy 2019/1024 – w art. 2 ust. 2 lit. d tej dyrektywy wskazano, że nie ma ona zastosowania do dokumentów, takich jak dane wrażliwe, które są wyłączone z dostępu na podstawie systemów dostępu państwa członkowskiego, w tym ze względu właśnie na tajemnicę statystyczną.</w:t>
            </w:r>
          </w:p>
          <w:p w14:paraId="67908440" w14:textId="77777777" w:rsid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Zobowiązania międzynarodowe Polski w zakresie statystyki publicznej oraz zadania realizowane przez polską statystykę publiczną są stale monitorowane przez organizacje międzynarodowe, zarówno w zakresie podstaw prawnych działania, jak i realizacji badań statystycznych. Można założyć, że brak jednoznacznego przeniesienia treści dyrektywy UE do prawa polskiego powodowałby istotne zastrzeżenia ze strony właściwych organów UE, a dla adresatów tych norm, bardzo często prowadzących działalność w środowisku międzynarodowym, byłby źródłem wielu problemów praktycznych.</w:t>
            </w:r>
          </w:p>
          <w:p w14:paraId="2E2E7427"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p>
          <w:p w14:paraId="472ABB08"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Dodatkowe uwagi GUS zgłoszone po konferencji uzgodnieniowej (pismo z 10.12.2020 r., GUS-GP03.0201.341.2020.97).</w:t>
            </w:r>
          </w:p>
          <w:p w14:paraId="4D560AF5"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GUS podtrzymuje uwagę zgłoszoną przy piśmie z dnia 11 września 2020 r. dotyczącą art. 6 projektowanej ustawy (</w:t>
            </w:r>
            <w:r w:rsidRPr="000E44F7">
              <w:rPr>
                <w:rFonts w:ascii="Times New Roman" w:eastAsiaTheme="minorHAnsi" w:hAnsi="Times New Roman" w:cs="Times New Roman"/>
                <w:i/>
                <w:sz w:val="22"/>
                <w:szCs w:val="22"/>
                <w:lang w:eastAsia="en-US"/>
              </w:rPr>
              <w:t>vide</w:t>
            </w:r>
            <w:r w:rsidRPr="000E44F7">
              <w:rPr>
                <w:rFonts w:ascii="Times New Roman" w:eastAsiaTheme="minorHAnsi" w:hAnsi="Times New Roman" w:cs="Times New Roman"/>
                <w:sz w:val="22"/>
                <w:szCs w:val="22"/>
                <w:lang w:eastAsia="en-US"/>
              </w:rPr>
              <w:t xml:space="preserve"> uwaga nr 57 w zestawieniu uwag). GUS po raz kolejny zwraca uwagę na konieczność nadania </w:t>
            </w:r>
            <w:r w:rsidRPr="000E44F7">
              <w:rPr>
                <w:rFonts w:ascii="Times New Roman" w:eastAsiaTheme="minorHAnsi" w:hAnsi="Times New Roman" w:cs="Times New Roman"/>
                <w:sz w:val="22"/>
                <w:szCs w:val="22"/>
                <w:lang w:eastAsia="en-US"/>
              </w:rPr>
              <w:br/>
              <w:t>w art. 6 następującego brzmienia ust. 1:</w:t>
            </w:r>
          </w:p>
          <w:p w14:paraId="78EF25CD"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„1. Prawo do ponownego wykorzystywania podlega ograniczeniom w zakresie i na zasadach określonych w przepisach o ochronie informacji niejawnych, o ochronie tajemnicy statystycznej oraz o ochronie innych tajemnic ustawowo chronionych.”.</w:t>
            </w:r>
          </w:p>
          <w:p w14:paraId="098A30A6" w14:textId="77777777" w:rsidR="008A3702" w:rsidRPr="00E35D35"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 xml:space="preserve">Proponowane brzmienie ust. 1 jest niezbędne dla podkreślenia znaczenia tajemnicy statystycznej, jako przesłanki uzasadniającej ograniczenie prawa do ponownego wykorzystywania informacji sektora publicznego w zakresie danych statystycznych. Uwypuklenie w omawianym przepisie tajemnicy statystycznej ma na celu dostosowanie projektowanej ustawy do dyrektywy 2019/1024 Parlamentu Europejskiego i Rady z dnia 20 czerwca 2019 r. w sprawie otwartych danych i ponownego wykorzystywania informacji sektora publicznego (Dz. Urz. UE L 172 z 26.08.1919, z. 156), dalej: „dyrektywa 2019/1024”. W art. 2 ust. 2 lit. d tej dyrektywy wskazano, że nie ma ona zastosowania do dokumentów, takich jak dane wrażliwe, które są wyłączone z dostępu na podstawie systemów dostępu państwa członkowskiego, w tym ze względu właśnie na tajemnicę statystyczną (zatem prawodawca unijny podkreślił szczególny charakter tajemnicy </w:t>
            </w:r>
            <w:r w:rsidRPr="000E44F7">
              <w:rPr>
                <w:rFonts w:ascii="Times New Roman" w:eastAsiaTheme="minorHAnsi" w:hAnsi="Times New Roman" w:cs="Times New Roman"/>
                <w:sz w:val="22"/>
                <w:szCs w:val="22"/>
                <w:lang w:eastAsia="en-US"/>
              </w:rPr>
              <w:lastRenderedPageBreak/>
              <w:t>statystycznej). Należy mieć na uwadze, że zobowiązania międzynarodowe Polski w zakresie statystyki publicznej oraz zadania realizowane przez polską statystykę publiczną są stale monitorowane przez organizacje międzynarodowe, zarówno w zakresie podstaw prawnych działania, jak i realizacji badań statystycznych</w:t>
            </w:r>
            <w:r>
              <w:rPr>
                <w:rFonts w:ascii="Times New Roman" w:eastAsiaTheme="minorHAnsi" w:hAnsi="Times New Roman" w:cs="Times New Roman"/>
                <w:sz w:val="22"/>
                <w:szCs w:val="22"/>
                <w:lang w:eastAsia="en-US"/>
              </w:rPr>
              <w:t>.</w:t>
            </w:r>
          </w:p>
        </w:tc>
        <w:tc>
          <w:tcPr>
            <w:tcW w:w="4785" w:type="dxa"/>
            <w:shd w:val="clear" w:color="auto" w:fill="auto"/>
          </w:tcPr>
          <w:p w14:paraId="1578F77F" w14:textId="77777777" w:rsidR="000E44F7" w:rsidRPr="000E44F7" w:rsidRDefault="000E44F7" w:rsidP="000E44F7">
            <w:pPr>
              <w:spacing w:before="0" w:after="0" w:line="240" w:lineRule="auto"/>
              <w:rPr>
                <w:rFonts w:ascii="Times New Roman" w:eastAsiaTheme="minorHAnsi" w:hAnsi="Times New Roman" w:cs="Times New Roman"/>
                <w:b/>
                <w:sz w:val="22"/>
                <w:szCs w:val="22"/>
                <w:lang w:eastAsia="en-US"/>
              </w:rPr>
            </w:pPr>
            <w:r w:rsidRPr="000E44F7">
              <w:rPr>
                <w:rFonts w:ascii="Times New Roman" w:eastAsiaTheme="minorHAnsi" w:hAnsi="Times New Roman" w:cs="Times New Roman"/>
                <w:b/>
                <w:sz w:val="22"/>
                <w:szCs w:val="22"/>
                <w:lang w:eastAsia="en-US"/>
              </w:rPr>
              <w:lastRenderedPageBreak/>
              <w:t>Uwaga nieuwzględniona</w:t>
            </w:r>
          </w:p>
          <w:p w14:paraId="5CBB7689"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1. Uwaga dot. wskazania w art. 6 ust. 1 tajemnicy statystycznej.</w:t>
            </w:r>
          </w:p>
          <w:p w14:paraId="1EBF56D7"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 xml:space="preserve">Tajemnica statystyczna jest inną tajemnicą ustawowo chronią w związku z powyższym niezasadnym byłoby jej dodatkowe (oddzielne) wymienianie w przepisach projektowanej ustawy. Tajemnica statyczna jest już „ujęta” w art. 6 ust. 1 projektu. Przepis art. 6 ust. 1 projektu ustawy jest tożsamy z obecnie obowiązującym przepisami – art. 6 ust. 1 ustawy z 2016 r. Przepis ten nie budził wątpliwości interpretacyjnych w zakresie dot. ograniczenia prawa do ponownego wykorzystywania ze względu na tajemnicę statyczną. Art. 6 ust. 1 projektu ustawy oraz art. 6 ust. 1 ustawy z 2016 r. nie zostały również zakwestionowane jako niezgodne z prawem Unii Europejskiej. Art. 6 ust. 1 projektu ustawy w pełni implementuje art. 1 ust. 2 lit d (w uwagach GUS wskazano błędnie jednostkę redakcyjną  dyrektywy), ponieważ wskazana w przepisach dyrektywy tajemnica statystyczna w polskich przepisach stanowi inną tajemnicę ustawową chronioną.  </w:t>
            </w:r>
          </w:p>
          <w:p w14:paraId="2D732D41"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u w:val="single"/>
                <w:lang w:eastAsia="en-US"/>
              </w:rPr>
            </w:pPr>
            <w:r w:rsidRPr="000E44F7">
              <w:rPr>
                <w:rFonts w:ascii="Times New Roman" w:eastAsiaTheme="minorHAnsi" w:hAnsi="Times New Roman" w:cs="Times New Roman"/>
                <w:sz w:val="22"/>
                <w:szCs w:val="22"/>
                <w:lang w:eastAsia="en-US"/>
              </w:rPr>
              <w:t>2. Wyjaśnienie dot. uwagi, że „projektowana ustawa przewiduje, że dane statystyczne mają być udostępniane jako dane badawcze (art. 2 pkt 2)”.</w:t>
            </w:r>
          </w:p>
          <w:p w14:paraId="369BE477" w14:textId="0D32C8C0"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 xml:space="preserve">Wprowadzenie definicji danych badawczych w projekcie ustawy należy rozpatrywać w powiązaniu z poszerzeniem zakresu regulacyjnego dyrektywy 2019/1024/UE (art. 1 ust. 1 lit. c). Dyrektywa 2019/1024/UE objęła swoim zakresem kategorię danych badawczych spełniających określone w dyrektywie warunki (art. 10 ust. 2 dyrektywy). Stanowi to nowość </w:t>
            </w:r>
            <w:r w:rsidRPr="000E44F7">
              <w:rPr>
                <w:rFonts w:ascii="Times New Roman" w:eastAsiaTheme="minorHAnsi" w:hAnsi="Times New Roman" w:cs="Times New Roman"/>
                <w:sz w:val="22"/>
                <w:szCs w:val="22"/>
                <w:lang w:eastAsia="en-US"/>
              </w:rPr>
              <w:lastRenderedPageBreak/>
              <w:t>w porównaniu z dotychczasowymi rozwiązaniami, które zakładały całościowe wyłączenie tego rodzaju informacji</w:t>
            </w:r>
            <w:r w:rsidRPr="000E44F7">
              <w:rPr>
                <w:rFonts w:eastAsiaTheme="minorHAnsi"/>
                <w:sz w:val="22"/>
                <w:szCs w:val="22"/>
                <w:lang w:eastAsia="en-US"/>
              </w:rPr>
              <w:t xml:space="preserve"> </w:t>
            </w:r>
            <w:r w:rsidRPr="000E44F7">
              <w:rPr>
                <w:rFonts w:ascii="Times New Roman" w:eastAsiaTheme="minorHAnsi" w:hAnsi="Times New Roman" w:cs="Times New Roman"/>
                <w:sz w:val="22"/>
                <w:szCs w:val="22"/>
                <w:lang w:eastAsia="en-US"/>
              </w:rPr>
              <w:t>z zakresu obowiązywania przepisów regulujących ponowne wykorzystywanie.</w:t>
            </w:r>
            <w:r>
              <w:rPr>
                <w:rFonts w:ascii="Times New Roman" w:eastAsiaTheme="minorHAnsi" w:hAnsi="Times New Roman" w:cs="Times New Roman"/>
                <w:sz w:val="22"/>
                <w:szCs w:val="22"/>
                <w:lang w:eastAsia="en-US"/>
              </w:rPr>
              <w:t xml:space="preserve"> </w:t>
            </w:r>
            <w:r w:rsidRPr="000E44F7">
              <w:rPr>
                <w:rFonts w:ascii="Times New Roman" w:eastAsiaTheme="minorHAnsi" w:hAnsi="Times New Roman" w:cs="Times New Roman"/>
                <w:sz w:val="22"/>
                <w:szCs w:val="22"/>
                <w:lang w:eastAsia="en-US"/>
              </w:rPr>
              <w:t>Obowiązująca dotychczas dyrektywa 2003/98/WE</w:t>
            </w:r>
            <w:r w:rsidRPr="000E44F7">
              <w:rPr>
                <w:rFonts w:ascii="Times New Roman" w:eastAsiaTheme="minorHAnsi" w:hAnsi="Times New Roman" w:cs="Times New Roman"/>
                <w:sz w:val="22"/>
                <w:szCs w:val="22"/>
                <w:vertAlign w:val="superscript"/>
                <w:lang w:eastAsia="en-US"/>
              </w:rPr>
              <w:footnoteReference w:id="4"/>
            </w:r>
            <w:r w:rsidR="009A2628">
              <w:rPr>
                <w:rFonts w:ascii="Times New Roman" w:eastAsiaTheme="minorHAnsi" w:hAnsi="Times New Roman" w:cs="Times New Roman"/>
                <w:sz w:val="22"/>
                <w:szCs w:val="22"/>
                <w:vertAlign w:val="superscript"/>
                <w:lang w:eastAsia="en-US"/>
              </w:rPr>
              <w:t>)</w:t>
            </w:r>
            <w:r w:rsidRPr="000E44F7">
              <w:rPr>
                <w:rFonts w:ascii="Times New Roman" w:eastAsiaTheme="minorHAnsi" w:hAnsi="Times New Roman" w:cs="Times New Roman"/>
                <w:sz w:val="22"/>
                <w:szCs w:val="22"/>
                <w:lang w:eastAsia="en-US"/>
              </w:rPr>
              <w:t xml:space="preserve"> nie znajdowała zastosowania do dokumentów będących w posiadaniu instytucji edukacyjnych i badawczych, w tym organizacji ustanowionych w celu przekazywania wyników badań, szkół i uniwersytetów, z wyłączeniem bibliotek uniwersyteckich (art. 1 ust. 2 lit. e dyrektywy 2003/98/WE). Na gruncie prawa krajowego prowadziło to do wyłączenia stosowania przepisów ustawy z 2016 r. w stosunku do ISP będących w posiadaniu podmiotów, o których mowa w art. 7 ust. 1 ustawy z dnia 20 lipca 2018 r. - Prawo o szkolnictwie wyższym i nauce (Dz. U. z 2020 r. poz. 85, z późn. zm.) (poza nielicznymi wyjątkami).</w:t>
            </w:r>
          </w:p>
          <w:p w14:paraId="15987882"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 xml:space="preserve">Dyrektywa 2019/1024/UE zgodnie z art. 1 ust. 1 lit. c objęła zakresem swoich regulacji pewną kategorię danych badawczych. Są to dane badawcze spełniające warunki określone w art. 10 ust. 2 dyrektywy, zgodnie z którym dane badawcze  udostępnia się  do  ponownego wykorzystywania w  zakresie, w  jakim  dane  te  są  finansowane ze środków  publicznych  i  zostały już  publicznie udostępnione przez naukowców,  organizacje prowadzące  badania naukowe  lub  organizacje finansujące badania naukowe  za  pośrednictwem repozytorium  instytucjonalnego lub tematycznego. </w:t>
            </w:r>
          </w:p>
          <w:p w14:paraId="1553CD73"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 xml:space="preserve">Nowa dyrektywa nadal nie znajduje jednak zastosowania do dokumentów innych niż te,  </w:t>
            </w:r>
            <w:r w:rsidRPr="000E44F7">
              <w:rPr>
                <w:rFonts w:ascii="Times New Roman" w:eastAsiaTheme="minorHAnsi" w:hAnsi="Times New Roman" w:cs="Times New Roman"/>
                <w:sz w:val="22"/>
                <w:szCs w:val="22"/>
                <w:lang w:eastAsia="en-US"/>
              </w:rPr>
              <w:lastRenderedPageBreak/>
              <w:t>których  mowa w  ust.  1  lit.  c,  będących  w  posiadaniu organizacji prowadzących badania naukowe i organizacji finansujących badania naukowe, w tym organizacji utworzonych na potrzeby transferu wyników badań naukowych (innych niże te wskazane powyżej). Zatem poszerzenie zakresu regulacyjnego dyrektywy 2019/1024/UE dotyczy tylko wybranej kategorii danych badawczych.</w:t>
            </w:r>
          </w:p>
          <w:p w14:paraId="4AFD6D6C"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Mając na uwadze powyższe w art. 4 ust. 1 pkt 3 projektu ustawy, stosownie do dotychczasowych rozwiązań, wyłączono z zakresu regulacyjnego ustawy podmioty, o których mowa w art. 7 ust. 1 ustawy - Prawo o szkolnictwie wyższym i nauce. Jednocześnie jednak w drodze wyjątku od wskazanego wyłączenia, ponownemu wykorzystywaniu podlegać będą dane badawcze spełniające warunki, o których w art. 22 projektu ustawy.</w:t>
            </w:r>
          </w:p>
          <w:p w14:paraId="775BAE5C"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Zgodnie z art. 22 projektu, na zasadach przewidzianych w ustawie, ponownemu wykorzystywaniu podlegać będą dane badawcze, będące w posiadaniu podmiotów, o których mowa w art. 7 ust.  1 ustawy z dnia 20 lipca 2018 r. – Prawo o szkolnictwie wyższym i nauce, które są finansowane ze środków publicznych oraz zostały już publicznie udostępnione systemie teleinformatycznym podmiotu zobowiązanego, w szczególności w repozytorium instytucjonalnym lub tematycznym. Ponadto wykorzystywanie danych badawczych, spełniających powyższe kryteria, będzie bezpłatne. Art. 22 projektu ustawy implementuje art. 10 ust. 2 dyrektywy 2019/1024/UE.</w:t>
            </w:r>
          </w:p>
          <w:p w14:paraId="133CEF5E" w14:textId="77777777" w:rsidR="000E44F7" w:rsidRPr="000E44F7"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lastRenderedPageBreak/>
              <w:t xml:space="preserve">Dane badawcze spełniające warunki, o których mowa w art. 22 projektu ustawy, należy zatem uznać za kolejny, obok już istniejących, wyjątków od generalnego wyłączenia z regulacji ustawy ISP będących w posiadaniu podmiotów sektora nauki. W tym rozumieniu dane badawcze należy uznać za szczególny rodzaj ISP, które po spełnieniu warunków, o których mowa w art. 22 projektu będą (na zasadzie wyjątku) podlegać ponownemu wykorzystywaniu. Pozostałe informacje będące w posiadaniu podmiotów sektora nauki, tj. ISP inne niż dane badawcze oraz dane badawcze niespełniające przesłanek określonych w art. 22 projektu, nie będą podlegały ponownemu wykorzystywaniu.  </w:t>
            </w:r>
          </w:p>
          <w:p w14:paraId="23B7AB03" w14:textId="77777777" w:rsidR="008A3702" w:rsidRPr="00E35D35" w:rsidRDefault="000E44F7" w:rsidP="000E44F7">
            <w:pPr>
              <w:spacing w:before="0" w:after="0" w:line="240" w:lineRule="auto"/>
              <w:jc w:val="both"/>
              <w:rPr>
                <w:rFonts w:ascii="Times New Roman" w:eastAsiaTheme="minorHAnsi" w:hAnsi="Times New Roman" w:cs="Times New Roman"/>
                <w:sz w:val="22"/>
                <w:szCs w:val="22"/>
                <w:lang w:eastAsia="en-US"/>
              </w:rPr>
            </w:pPr>
            <w:r w:rsidRPr="000E44F7">
              <w:rPr>
                <w:rFonts w:ascii="Times New Roman" w:eastAsiaTheme="minorHAnsi" w:hAnsi="Times New Roman" w:cs="Times New Roman"/>
                <w:sz w:val="22"/>
                <w:szCs w:val="22"/>
                <w:lang w:eastAsia="en-US"/>
              </w:rPr>
              <w:t>Reasumując, GUS (jako podmiot niewymieniony w art. 7 ust. 1 ustawy – Prawo o szkolnictwie wyższym i nauce) będzie nadal udostępniać posiadane przez siebie ISP na zwykłych zasadach, tj. bez ograniczeń związanych z ponownym wykorzystywaniem danych badawczych, o których mowa w art. 22 projektu ustawy.</w:t>
            </w:r>
          </w:p>
        </w:tc>
      </w:tr>
      <w:tr w:rsidR="008A3702" w:rsidRPr="00E35D35" w14:paraId="5B7E2A14" w14:textId="77777777" w:rsidTr="00F73818">
        <w:tc>
          <w:tcPr>
            <w:tcW w:w="676" w:type="dxa"/>
            <w:shd w:val="clear" w:color="auto" w:fill="auto"/>
          </w:tcPr>
          <w:p w14:paraId="1FD01182"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C3C71A9" w14:textId="77777777" w:rsidR="008A3702" w:rsidRPr="008B66F2" w:rsidRDefault="003D2274" w:rsidP="008A370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Urząd Ochrony Danych Osobowych</w:t>
            </w:r>
          </w:p>
        </w:tc>
        <w:tc>
          <w:tcPr>
            <w:tcW w:w="1526" w:type="dxa"/>
            <w:shd w:val="clear" w:color="auto" w:fill="auto"/>
          </w:tcPr>
          <w:p w14:paraId="05E1142D" w14:textId="77777777" w:rsidR="008A3702" w:rsidRPr="008B66F2" w:rsidRDefault="003D2274" w:rsidP="008A370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Art. 6 ust. 2</w:t>
            </w:r>
          </w:p>
        </w:tc>
        <w:tc>
          <w:tcPr>
            <w:tcW w:w="5323" w:type="dxa"/>
            <w:shd w:val="clear" w:color="auto" w:fill="auto"/>
          </w:tcPr>
          <w:p w14:paraId="26CFA32B" w14:textId="77777777" w:rsidR="003D2274" w:rsidRPr="008B66F2" w:rsidRDefault="003D2274" w:rsidP="003D2274">
            <w:pPr>
              <w:autoSpaceDE w:val="0"/>
              <w:autoSpaceDN w:val="0"/>
              <w:adjustRightInd w:val="0"/>
              <w:spacing w:before="0" w:after="0" w:line="259" w:lineRule="auto"/>
              <w:jc w:val="both"/>
              <w:rPr>
                <w:rFonts w:ascii="Times New Roman" w:eastAsiaTheme="minorHAnsi" w:hAnsi="Times New Roman" w:cs="Times New Roman"/>
                <w:i/>
                <w:sz w:val="22"/>
                <w:szCs w:val="22"/>
                <w:lang w:eastAsia="en-US"/>
              </w:rPr>
            </w:pPr>
            <w:r w:rsidRPr="008B66F2">
              <w:rPr>
                <w:rFonts w:ascii="Times New Roman" w:eastAsiaTheme="minorHAnsi" w:hAnsi="Times New Roman" w:cs="Times New Roman"/>
                <w:sz w:val="22"/>
                <w:szCs w:val="22"/>
                <w:lang w:eastAsia="en-US"/>
              </w:rPr>
              <w:t xml:space="preserve">Zgodnie z </w:t>
            </w:r>
            <w:r w:rsidRPr="008B66F2">
              <w:rPr>
                <w:rFonts w:ascii="Times New Roman" w:eastAsiaTheme="minorHAnsi" w:hAnsi="Times New Roman" w:cs="Times New Roman"/>
                <w:b/>
                <w:sz w:val="22"/>
                <w:szCs w:val="22"/>
                <w:lang w:eastAsia="en-US"/>
              </w:rPr>
              <w:t>art. 6 ust. 2</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
                <w:sz w:val="22"/>
                <w:szCs w:val="22"/>
                <w:lang w:eastAsia="en-US"/>
              </w:rPr>
              <w:t>projektu</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sz w:val="22"/>
                <w:szCs w:val="22"/>
                <w:lang w:eastAsia="en-US"/>
              </w:rPr>
              <w:t xml:space="preserve">prawo do ponownego wykorzystywania podlega ograniczeniu ze względu na tajemnicę przedsiębiorstwa lub prywatność osoby fizycznej, w tym ochronę danych osobowych. Ograniczenie to nie dotyczy informacji o osobach pełniących funkcje publiczne, mających związek z pełnieniem tych funkcji, w tym o warunkach powierzenia i wykonywania funkcji, oraz przypadku gdy osoba fizyczna wyrazi zgodę na przetwarzanie jej danych osobowych w celu ponownego wykorzystywania lub gdy przedsiębiorca rezygnuje z przysługującego mu prawa. Ograniczenie, o którym mowa w zdaniu pierwszym, nie dotyczy również osób </w:t>
            </w:r>
            <w:r w:rsidRPr="008B66F2">
              <w:rPr>
                <w:rFonts w:ascii="Times New Roman" w:eastAsiaTheme="minorHAnsi" w:hAnsi="Times New Roman" w:cs="Times New Roman"/>
                <w:i/>
                <w:sz w:val="22"/>
                <w:szCs w:val="22"/>
                <w:lang w:eastAsia="en-US"/>
              </w:rPr>
              <w:lastRenderedPageBreak/>
              <w:t>wykonujących zawody lub działalność regulowaną w zakresie danych pochodzących z jawnych rejestrów zawodów lub działalności regulowanej udostępnianych w sieci teleinformatycznej przez podmioty zobowiązane.</w:t>
            </w:r>
          </w:p>
          <w:p w14:paraId="06B37188" w14:textId="77777777" w:rsidR="003D2274" w:rsidRPr="008B66F2" w:rsidRDefault="003D2274" w:rsidP="003D2274">
            <w:pPr>
              <w:autoSpaceDE w:val="0"/>
              <w:autoSpaceDN w:val="0"/>
              <w:adjustRightInd w:val="0"/>
              <w:spacing w:before="0" w:after="0" w:line="259"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W opinii Prezesa Urzędu Ochrony Danych Osobowych projektowane rozwiązanie narusza prawo do prywatności i ochrony danych osobowych szerokiej kategorii osób określonych w ww. przepisie. Wskazane podmiotowe wyłączenie ograniczenia prawa do ponownego wykorzystywania informacji ze względu prywatność osoby fizycznej, w tym ochronę danych osobowych po pierwsze </w:t>
            </w:r>
            <w:r w:rsidRPr="008B66F2">
              <w:rPr>
                <w:rFonts w:ascii="Times New Roman" w:eastAsiaTheme="minorHAnsi" w:hAnsi="Times New Roman" w:cs="Times New Roman"/>
                <w:bCs/>
                <w:sz w:val="22"/>
                <w:szCs w:val="22"/>
                <w:lang w:eastAsia="en-US"/>
              </w:rPr>
              <w:t>nie ma uzasadnienia w przepisach dyrektywy 2019/1024/UE</w:t>
            </w:r>
            <w:r w:rsidRPr="008B66F2">
              <w:rPr>
                <w:rFonts w:ascii="Times New Roman" w:eastAsiaTheme="minorHAnsi" w:hAnsi="Times New Roman" w:cs="Times New Roman"/>
                <w:sz w:val="22"/>
                <w:szCs w:val="22"/>
                <w:lang w:eastAsia="en-US"/>
              </w:rPr>
              <w:t xml:space="preserve">. Po wtóre, rozwiązanie to </w:t>
            </w:r>
            <w:r w:rsidRPr="008B66F2">
              <w:rPr>
                <w:rFonts w:ascii="Times New Roman" w:eastAsiaTheme="minorHAnsi" w:hAnsi="Times New Roman" w:cs="Times New Roman"/>
                <w:bCs/>
                <w:sz w:val="22"/>
                <w:szCs w:val="22"/>
                <w:lang w:eastAsia="en-US"/>
              </w:rPr>
              <w:t>nie uwzględnia zasady zgodności z prawem wynikającej z art. 5 ust. 1</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lit. a RODO</w:t>
            </w:r>
            <w:r w:rsidRPr="008B66F2">
              <w:rPr>
                <w:rFonts w:ascii="Times New Roman" w:eastAsiaTheme="minorHAnsi" w:hAnsi="Times New Roman" w:cs="Times New Roman"/>
                <w:sz w:val="22"/>
                <w:szCs w:val="22"/>
                <w:lang w:eastAsia="en-US"/>
              </w:rPr>
              <w:t xml:space="preserve"> (dane osobowe muszą być przetwarzane zgodnie z prawem, rzetelnie i w sposób przejrzysty dla osoby, której dane dotyczą ("zgodność z prawem, rzetelność i przejrzystość")). Sam fakt przynależności do określonej grupy osób czy to pełniących funkcje publiczne mających związek z ich pełnieniem czy wykonujących zawody lub działalność regulowaną nie wyłącza ich prawa do ochrony danych osobowych. Projektodawca powinien wziąć zatem pod uwagę wytyczną wynikającą z motywu 52 dyrektywy 2019/1024/UE co do tego, że </w:t>
            </w:r>
            <w:r w:rsidRPr="008B66F2">
              <w:rPr>
                <w:rFonts w:ascii="Times New Roman" w:eastAsiaTheme="minorHAnsi" w:hAnsi="Times New Roman" w:cs="Times New Roman"/>
                <w:bCs/>
                <w:sz w:val="22"/>
                <w:szCs w:val="22"/>
                <w:lang w:eastAsia="en-US"/>
              </w:rPr>
              <w:t>ponowne wykorzystywanie danych osobowych jest dopuszczalne jedynie, gdy jest ono</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 xml:space="preserve">zgodne z zasadą celowości a zatem zagwarantować w przepisach zastosowanie w każdym przypadku stosowania zasady ograniczenia celu określonej w </w:t>
            </w:r>
            <w:r w:rsidRPr="008B66F2">
              <w:rPr>
                <w:rFonts w:ascii="Times New Roman" w:eastAsiaTheme="minorHAnsi" w:hAnsi="Times New Roman" w:cs="Times New Roman"/>
                <w:bCs/>
                <w:i/>
                <w:iCs/>
                <w:sz w:val="22"/>
                <w:szCs w:val="22"/>
                <w:lang w:eastAsia="en-US"/>
              </w:rPr>
              <w:t>art. 5 ust. 1 lit. b RODO,</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i/>
                <w:iCs/>
                <w:sz w:val="22"/>
                <w:szCs w:val="22"/>
                <w:lang w:eastAsia="en-US"/>
              </w:rPr>
              <w:t xml:space="preserve">zgodnie z którą dane osobowe muszą być zbierane w </w:t>
            </w:r>
            <w:r w:rsidRPr="008B66F2">
              <w:rPr>
                <w:rFonts w:ascii="Times New Roman" w:eastAsiaTheme="minorHAnsi" w:hAnsi="Times New Roman" w:cs="Times New Roman"/>
                <w:bCs/>
                <w:i/>
                <w:iCs/>
                <w:sz w:val="22"/>
                <w:szCs w:val="22"/>
                <w:lang w:eastAsia="en-US"/>
              </w:rPr>
              <w:t>konkretnych, wyraźnych</w:t>
            </w:r>
            <w:r w:rsidRPr="008B66F2">
              <w:rPr>
                <w:rFonts w:ascii="Times New Roman" w:eastAsiaTheme="minorHAnsi" w:hAnsi="Times New Roman" w:cs="Times New Roman"/>
                <w:b/>
                <w:bCs/>
                <w:i/>
                <w:iCs/>
                <w:sz w:val="22"/>
                <w:szCs w:val="22"/>
                <w:lang w:eastAsia="en-US"/>
              </w:rPr>
              <w:t xml:space="preserve"> </w:t>
            </w:r>
            <w:r w:rsidRPr="008B66F2">
              <w:rPr>
                <w:rFonts w:ascii="Times New Roman" w:eastAsiaTheme="minorHAnsi" w:hAnsi="Times New Roman" w:cs="Times New Roman"/>
                <w:i/>
                <w:iCs/>
                <w:sz w:val="22"/>
                <w:szCs w:val="22"/>
                <w:lang w:eastAsia="en-US"/>
              </w:rPr>
              <w:t>i prawnie</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 xml:space="preserve">uzasadnionych celach i nieprzetwarzane dalej w sposób niezgodny z tymi celami. </w:t>
            </w:r>
            <w:r w:rsidRPr="008B66F2">
              <w:rPr>
                <w:rFonts w:ascii="Times New Roman" w:eastAsiaTheme="minorHAnsi" w:hAnsi="Times New Roman" w:cs="Times New Roman"/>
                <w:sz w:val="22"/>
                <w:szCs w:val="22"/>
                <w:lang w:eastAsia="en-US"/>
              </w:rPr>
              <w:t xml:space="preserve">Sam fakt pełnienia funkcji lub określonej działalności zawodowej nie może powodować </w:t>
            </w:r>
            <w:r w:rsidRPr="008B66F2">
              <w:rPr>
                <w:rFonts w:ascii="Times New Roman" w:eastAsiaTheme="minorHAnsi" w:hAnsi="Times New Roman" w:cs="Times New Roman"/>
                <w:sz w:val="22"/>
                <w:szCs w:val="22"/>
                <w:lang w:eastAsia="en-US"/>
              </w:rPr>
              <w:lastRenderedPageBreak/>
              <w:t>tego, że każda, nawet najbardziej wrażliwa informacja o osobie trafia do domeny publicznej i może być wykorzystywana do dowolnych celów, m.in. komercyjnych. Projektodawca w tworzonych przepisach prawa zadbać powinien zatem o ten aspekt ponownego wykorzystywania informacji sektora publicznego celem zapewnienia poszanowania i stosowania obowiązujących przepisów ogólnego rozporządzenia o ochronie danych w procesie implementacji do krajowego porządku prawnego przepisów dyrektywy 2019/1024/UE i wynikających w niej istotnych dla ochrony danych osobowych założeń.</w:t>
            </w:r>
          </w:p>
          <w:p w14:paraId="2D1717C5" w14:textId="77777777" w:rsidR="008A3702" w:rsidRPr="008B66F2" w:rsidRDefault="003D2274" w:rsidP="003D2274">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bCs/>
                <w:sz w:val="22"/>
                <w:szCs w:val="22"/>
                <w:lang w:eastAsia="en-US"/>
              </w:rPr>
              <w:t>Biorąc pod uwagę przytoczone argumenty Prezes Urzędu Ochrony Danych Osobowych wskazuje na niezbędność zmiany projektowanego art. 6 ust. 2 poprzez usunięcie z przepisu podmiotowych wyłączeń kategorii osób, co do których ograniczenia prawa do ponownego wykorzystywania informacji ze względu prywatność osoby fizycznej, w tym ochronę danych osobowych nie może mieć zastosowania.</w:t>
            </w:r>
          </w:p>
        </w:tc>
        <w:tc>
          <w:tcPr>
            <w:tcW w:w="4785" w:type="dxa"/>
            <w:shd w:val="clear" w:color="auto" w:fill="auto"/>
          </w:tcPr>
          <w:p w14:paraId="1FE982F7" w14:textId="3C142724" w:rsidR="008B66F2" w:rsidRPr="008B66F2" w:rsidRDefault="008B66F2" w:rsidP="008B66F2">
            <w:pPr>
              <w:spacing w:before="0" w:after="0" w:line="240" w:lineRule="auto"/>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lastRenderedPageBreak/>
              <w:t xml:space="preserve">Uwaga </w:t>
            </w:r>
            <w:r w:rsidRPr="008B66F2">
              <w:rPr>
                <w:rFonts w:ascii="Times New Roman" w:eastAsiaTheme="minorHAnsi" w:hAnsi="Times New Roman" w:cs="Times New Roman"/>
                <w:b/>
                <w:sz w:val="22"/>
                <w:szCs w:val="22"/>
                <w:lang w:eastAsia="en-US"/>
              </w:rPr>
              <w:t>uwzględniona</w:t>
            </w:r>
            <w:r>
              <w:rPr>
                <w:rFonts w:ascii="Times New Roman" w:eastAsiaTheme="minorHAnsi" w:hAnsi="Times New Roman" w:cs="Times New Roman"/>
                <w:b/>
                <w:sz w:val="22"/>
                <w:szCs w:val="22"/>
                <w:lang w:eastAsia="en-US"/>
              </w:rPr>
              <w:t xml:space="preserve"> częściowo </w:t>
            </w:r>
          </w:p>
          <w:p w14:paraId="5C51FD1E"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Wyjaśnienia wstępne.</w:t>
            </w:r>
          </w:p>
          <w:p w14:paraId="50685B5D"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Zgodnie z art. 1 ust. 4 dyrektywy 2019/1024/UE Parlamentu Europejskiego i Rady z dnia 20 czerwca 2019 r. w sprawie otwartych danych i ponownego wykorzystywania informacji sektora publicznego (która ma zostać implementowana do krajowego porządku prawnego przepisami projektowanej ustawy) dyrektywa pozostaje bez uszczerbku dla krajowych i unijnych przepisów dotyczących ochrony danych osobowych, w szczególności rozporządzenia Parlamentu Europejskiego i Rady (UE) 2016/679 z dnia 27 kwietna 2016 r. w sprawie </w:t>
            </w:r>
            <w:r w:rsidRPr="008B66F2">
              <w:rPr>
                <w:rFonts w:ascii="Times New Roman" w:eastAsiaTheme="minorHAnsi" w:hAnsi="Times New Roman" w:cs="Times New Roman"/>
                <w:sz w:val="22"/>
                <w:szCs w:val="22"/>
                <w:lang w:eastAsia="en-US"/>
              </w:rPr>
              <w:lastRenderedPageBreak/>
              <w:t>ochrony osób fizycznych w związku z przetwarzaniem danych osobowych i w sprawie swobodnego przepływu takich danych oraz uchylenia dyrektywy 95/46/WE (ogólne rozporządzenie o ochronie danych) i Dyrektywy 2002/58/WE2, a także odpowiadających im przepisów prawa krajowego. Tym samym przepisy projektowanej ustawy należy odnieść do treści art. 86 i motywu 154 preambuły ogólnego rozporządzenia.</w:t>
            </w:r>
          </w:p>
          <w:p w14:paraId="4E85D51A"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wyprowadzenie wniosku, że ogólne rozporządzenie nie wyłącza możliwości ujawnienia danych osobowych stanowiących informacje sektora publicznego w ramach ponownego wykorzystywania, o ile przepisy prawa krajowego to przewidują. Uznanie ponownego wykorzystywania za interes publiczny na gruncie art. 86 oznacza, że RODO nie wyłącza możliwości ujawnienia danych osobowych stanowiących informacje sektora </w:t>
            </w:r>
            <w:r w:rsidRPr="008B66F2">
              <w:rPr>
                <w:rFonts w:ascii="Times New Roman" w:eastAsiaTheme="minorHAnsi" w:hAnsi="Times New Roman" w:cs="Times New Roman"/>
                <w:sz w:val="22"/>
                <w:szCs w:val="22"/>
                <w:lang w:eastAsia="en-US"/>
              </w:rPr>
              <w:lastRenderedPageBreak/>
              <w:t>publicznego w ramach ponownego wykorzystywania. Oznacza to, że krajowe organy publiczne lub podmioty publiczne (czyli na gruncie projektu - podmioty zobowiązane), powinny mieć 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14:paraId="7F4D29DF" w14:textId="77777777" w:rsidR="008B66F2" w:rsidRPr="008B66F2" w:rsidRDefault="008B66F2" w:rsidP="008B66F2">
            <w:pPr>
              <w:spacing w:before="0" w:after="0" w:line="240" w:lineRule="auto"/>
              <w:rPr>
                <w:rFonts w:ascii="Times New Roman" w:eastAsiaTheme="minorHAnsi" w:hAnsi="Times New Roman" w:cs="Times New Roman"/>
                <w:sz w:val="22"/>
                <w:szCs w:val="22"/>
                <w:lang w:eastAsia="en-US"/>
              </w:rPr>
            </w:pPr>
          </w:p>
          <w:p w14:paraId="4E4C51A3" w14:textId="77777777" w:rsidR="008B66F2" w:rsidRPr="008B66F2" w:rsidRDefault="008B66F2" w:rsidP="008B66F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Wyjaśnienia do art. 6 ust. 2.</w:t>
            </w:r>
          </w:p>
          <w:p w14:paraId="60E4BD58"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W opinii KPRM projektowane rozwiązanie nie narusza prawa do prywatności i ochrony danych osobowych osób pełniących funkcje publiczne, mających związek z pełnieniem tych funkcji, w tym o warunkach powierzenia i wykonywania funkcji.</w:t>
            </w:r>
          </w:p>
          <w:p w14:paraId="4240BEB9"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Należy zauważyć, że dostęp do informacji dotyczących osób pełniących funkcje publiczne i pozostających w związku z ich pełnieniem pozostaje od lat przedmiotem wypowiedzi Trybunału Konstytucyjnego, sądów administracyjnych oraz doktryny. W orzecznictwie przyjmuje się pewną gradację dostępności informacji w zależności od tego, z jakiej sfery one pochodzą. Inaczej traktuje się informacje o jednostce dotyczące jej sfery zawodowej, wykonywania przez nią funkcji publicznych, podejmowania różnego rodzaju działań w sferze publicznej, inaczej zaś informacje dotyczące tego, co dla człowieka intymne, indywidualne, niedostępne dla szerszej publiczności. Zwykle </w:t>
            </w:r>
            <w:r w:rsidRPr="008B66F2">
              <w:rPr>
                <w:rFonts w:ascii="Times New Roman" w:eastAsiaTheme="minorHAnsi" w:hAnsi="Times New Roman" w:cs="Times New Roman"/>
                <w:sz w:val="22"/>
                <w:szCs w:val="22"/>
                <w:lang w:eastAsia="en-US"/>
              </w:rPr>
              <w:lastRenderedPageBreak/>
              <w:t>wskazuje się, że do prywatności jednostki należą informacje dotyczące jej zdrowia, życia rodzinnego, towarzyskiego, seksualnego, sposobu spędzania wolnego czasu, sytuacji majątkowej. Sądownictwo administracyjne i doktryna opowiada się za szerokim rozumiem pojęcia osoby  pełniącej funkcje publiczne . Przyjmuje się, że wymieniony w art. 115 § 13 i 19 ustawy z dnia 6 czerwca 1997 r. – Kodeks karny katalog osób uznanych przez ustawodawcę za funkcjonariuszy publicznych ma charakter jedynie podstawowy i niewyczerpujący. Podkreśla się, że  pojęcie "osoby pełniącej funkcję publiczną" ma na gruncie ustawy o dostępie do informacji publicznej (a w konsekwencji w projektowanej ustawie)  autonomiczne i szersze znaczenie niż pojęcie funkcjonariusza publicznego, o którym mowa w Kodeksie karnym. Najprostszym wyjaśnieniem pojęcia osoby pełniącej funkcję publiczną jest przyjęcie, że osoba, aby mogła być za taką uznana, musi w ramach instytucji publicznej realizować w pewnym zakresie nałożone na tę instytucję zadania publiczne, z wyłączeniem stanowisk usługowych i technicznych.</w:t>
            </w:r>
          </w:p>
          <w:p w14:paraId="48E18C4F"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Osobą pełniącą funkcję publiczną jest każdy, kto pełni funkcję w organach władzy publicznej lub też w strukturach osób prawnych i jednostek organizacyjnych nieposiadających osobowości prawnej, jeżeli tylko funkcja ta ma związek z dysponowaniem majątkiem państwowym lub samorządowym albo zarządzaniem sprawami związanymi z wykonywaniem swych zadań przez władze publiczne, a także inne podmioty, które tę władzę realizują lub gospodarują mieniem komunalnym lub majątkiem Skarbu Państwa.</w:t>
            </w:r>
          </w:p>
          <w:p w14:paraId="0FD08905"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lastRenderedPageBreak/>
              <w:t>Wykładni pojęcia funkcji publicznej dokonał Trybunał Konstytucyjny w wyroku z dnia 20 marca 2006 r. (sygn. K17/05). W ocenie TK, aby zdekodować to pojęcie należy badać czy określona osoba w ramach instytucji publicznej realizuje w pewnym zakresie nałożone na tę instytucję zadanie publiczne. Chodzi zatem o podmioty, którym przysługuje co najmniej wąski zakres kompetencji decyzyjnej w ramach instytucji publicznej. W tym kontekście Trybunał zaznaczył, że nie każdy pracownik takiej instytucji będzie tym funkcjonariuszem, którego sfera chronionej prywatności może być zawężona z perspektywy uzasadnionego interesu osób trzecich, realizującego się w ramach prawa do informacji. Nie można twierdzić, że w wypadku ustalenia kręgu osób, których życie prywatne może być przedmiotem uzasadnionego zainteresowania publiczności, istnieje jednolity mechanizm czy kryteria badania zakresu możliwej ingerencji. TK dostrzegł, że trudno byłoby stworzyć ogólny, abstrakcyjny, a tym bardziej zamknięty katalog tego rodzaju funkcji i stanowisk.</w:t>
            </w:r>
          </w:p>
          <w:p w14:paraId="4E2541E2"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W orzecznictwie nie budzi wątpliwości, że informacje (w tym dane osobowe) dotyczące osób pełniących funkcje publiczne związane z pełnieniem tych funkcji są jawne i podlegają udostępnieniu każdemu zainteresowanemu.</w:t>
            </w:r>
          </w:p>
          <w:p w14:paraId="065D565E"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Przykładowo wyrokiem z dnia  21 czerwca 2018 r. (sygn. SA/Wa 735/17) NSA uznał, że nazwiska ekspertów przygotowujących podstawę programową dla szkół są jawne i podlegają udostępnieniu w trybie ustawy o dostępie do informacji publicznej. W ocenie NSA, ingerencja w prywatność polegająca na ujawnieniu nazwiska </w:t>
            </w:r>
            <w:r w:rsidRPr="008B66F2">
              <w:rPr>
                <w:rFonts w:ascii="Times New Roman" w:eastAsiaTheme="minorHAnsi" w:hAnsi="Times New Roman" w:cs="Times New Roman"/>
                <w:sz w:val="22"/>
                <w:szCs w:val="22"/>
                <w:lang w:eastAsia="en-US"/>
              </w:rPr>
              <w:lastRenderedPageBreak/>
              <w:t>osoby pełniącej funkcje publiczną nie przekracza granicy intymności oraz życia rodzinnego wyznaczonej przepisami art. 47 i art. 61 ust. 3 Konstytucji RP oraz art. 8 i art. 10 Europejskiej Konwencji o Ochronie Praw Człowieka i Podstawowych Wolności. Mieści się w ramach wyjątku sformułowanego w art. 5 ust. 2 zdanie drugie ustawy o dostępie do informacji publicznej odczytywanego w kontekście równoważnych norm konstytucyjnych ustanawiających prawo do dostępu do informacji publicznej oraz ochronę prywatności.</w:t>
            </w:r>
          </w:p>
          <w:p w14:paraId="45C710C4"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Jednocześnie podkreślenia wymaga, że pełnienie funkcji publicznej nie może prowadzić do pozbawienia danej osoby sfery, w której pozostaje ona wolna od zewnętrznego zainteresowania. Jako przykładowe informacje, które nie dotyczą pełnienia funkcji publicznej i nie są z nią związane można wymienić, informacje dotyczące korzystania z zakładowego funduszu świadczeń socjalnych, informacje o hobby, zainteresowaniach, sposobie spędzania wolnego czasu, przynależności wyznaniowej, stanie zdrowia, stanie rodzinnym, prywatnym numerze telefonu, prywatnym adresie mailowym, adresie zamieszkania.</w:t>
            </w:r>
          </w:p>
          <w:p w14:paraId="00DB0706"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W innym wyroku wydanym już po wejściu w życie RODO WSA w Olsztynie (wyrok z 19 października 2018 r., II SA/Ol 542/18) stwierdził, że lekarze, niebędący funkcjonariuszami publicznymi, ale podlegający wpisowi do właściwego rejestru, nie mogą korzystać z ochrony danych w rejestrze tym zawartych – w szczególności dotyczy to ich imion i nazwisk. Lekarze wykonują zawód zaufania </w:t>
            </w:r>
            <w:r w:rsidRPr="008B66F2">
              <w:rPr>
                <w:rFonts w:ascii="Times New Roman" w:eastAsiaTheme="minorHAnsi" w:hAnsi="Times New Roman" w:cs="Times New Roman"/>
                <w:bCs/>
                <w:sz w:val="22"/>
                <w:szCs w:val="22"/>
                <w:lang w:eastAsia="en-US"/>
              </w:rPr>
              <w:t>publicznego</w:t>
            </w:r>
            <w:r w:rsidRPr="008B66F2">
              <w:rPr>
                <w:rFonts w:ascii="Times New Roman" w:eastAsiaTheme="minorHAnsi" w:hAnsi="Times New Roman" w:cs="Times New Roman"/>
                <w:sz w:val="22"/>
                <w:szCs w:val="22"/>
                <w:lang w:eastAsia="en-US"/>
              </w:rPr>
              <w:t xml:space="preserve"> i szczególnej odpowiedzialności, stąd też winni być podmiotami możliwymi do pełnej identyfikacji na płaszczyźnie zawodowej. Przepisy: </w:t>
            </w:r>
            <w:r w:rsidRPr="008B66F2">
              <w:rPr>
                <w:rFonts w:ascii="Times New Roman" w:eastAsiaTheme="minorHAnsi" w:hAnsi="Times New Roman" w:cs="Times New Roman"/>
                <w:sz w:val="22"/>
                <w:szCs w:val="22"/>
                <w:lang w:eastAsia="en-US"/>
              </w:rPr>
              <w:lastRenderedPageBreak/>
              <w:t xml:space="preserve">art. 5 ust. 1 pkt b, art. 6 ust. 1 pkt c RODO, art. 23 i art. 24 KC oraz art. 5 ust. 2 ustawy o dostępie do informacji publicznej „nie wykluczały możliwości uwzględnienia wniosku skarżącego w zakresie udostępnienia imion i nazwisk lekarzy legitymujących się specjalizacją z onkologii klinicznej, świadczących usługi medyczne finansowane ze środków </w:t>
            </w:r>
            <w:r w:rsidRPr="008B66F2">
              <w:rPr>
                <w:rFonts w:ascii="Times New Roman" w:eastAsiaTheme="minorHAnsi" w:hAnsi="Times New Roman" w:cs="Times New Roman"/>
                <w:bCs/>
                <w:sz w:val="22"/>
                <w:szCs w:val="22"/>
                <w:lang w:eastAsia="en-US"/>
              </w:rPr>
              <w:t>publicznych</w:t>
            </w:r>
            <w:r w:rsidRPr="008B66F2">
              <w:rPr>
                <w:rFonts w:ascii="Times New Roman" w:eastAsiaTheme="minorHAnsi" w:hAnsi="Times New Roman" w:cs="Times New Roman"/>
                <w:sz w:val="22"/>
                <w:szCs w:val="22"/>
                <w:lang w:eastAsia="en-US"/>
              </w:rPr>
              <w:t xml:space="preserve"> w poszczególne dni i godziny, którzy zostali sprawozdani przez Ośrodek. Powołane (…) przepisy RODO dotyczą bowiem zbierania i przetwarzania danych osobowych osób fizycznych, a nie ich udostępniania w ramach dostępu do </w:t>
            </w:r>
            <w:r w:rsidRPr="008B66F2">
              <w:rPr>
                <w:rFonts w:ascii="Times New Roman" w:eastAsiaTheme="minorHAnsi" w:hAnsi="Times New Roman" w:cs="Times New Roman"/>
                <w:bCs/>
                <w:sz w:val="22"/>
                <w:szCs w:val="22"/>
                <w:lang w:eastAsia="en-US"/>
              </w:rPr>
              <w:t>informacji</w:t>
            </w:r>
            <w:r w:rsidRPr="008B66F2">
              <w:rPr>
                <w:rFonts w:ascii="Times New Roman" w:eastAsiaTheme="minorHAnsi" w:hAnsi="Times New Roman" w:cs="Times New Roman"/>
                <w:sz w:val="22"/>
                <w:szCs w:val="22"/>
                <w:lang w:eastAsia="en-US"/>
              </w:rPr>
              <w:t> </w:t>
            </w:r>
            <w:r w:rsidRPr="008B66F2">
              <w:rPr>
                <w:rFonts w:ascii="Times New Roman" w:eastAsiaTheme="minorHAnsi" w:hAnsi="Times New Roman" w:cs="Times New Roman"/>
                <w:bCs/>
                <w:sz w:val="22"/>
                <w:szCs w:val="22"/>
                <w:lang w:eastAsia="en-US"/>
              </w:rPr>
              <w:t>publicznej</w:t>
            </w:r>
            <w:r w:rsidRPr="008B66F2">
              <w:rPr>
                <w:rFonts w:ascii="Times New Roman" w:eastAsiaTheme="minorHAnsi" w:hAnsi="Times New Roman" w:cs="Times New Roman"/>
                <w:sz w:val="22"/>
                <w:szCs w:val="22"/>
                <w:lang w:eastAsia="en-US"/>
              </w:rPr>
              <w:t>”.</w:t>
            </w:r>
          </w:p>
          <w:p w14:paraId="6DA92028"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Po drugie, projektowany przepis stanowi odzwierciedlenie obowiązującego ograniczenia prawa do prywatności na gruncie art. 6 ust. 2  ustawy o  ponownym wykorzystywaniu informacji sektora publicznego. Wreszcie co istotne, symetryczne ograniczenie prawa do prywatności występuje na gruncie przepisów ustawy o dostępie do informacji publicznej (art. 5). Usunięcie projektowanego przepisu doprowadziłoby do rozwarstwienia przepisów dwóch ustaw informacyjnych i skutkowałoby istotną niepewnością prawną w zakresie realizacji  podstawowych uprawnień, których zapowiedź została sformułowana w art. 61 Konstytucji RP. </w:t>
            </w:r>
          </w:p>
          <w:p w14:paraId="0C439A78"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Po trzecie, należy wskazać, że informacje o osobach pełniących funkcje publiczne mających związek z pełnieniem tych funkcji są udostępniane na stronach podmiotowych Biuletynu Informacji Publicznej. BIP obok centralnego repozytorium informacji publicznej stanowi tzw. bezwnioskowy tryb ponownego wykorzystywania, którego </w:t>
            </w:r>
            <w:r w:rsidRPr="008B66F2">
              <w:rPr>
                <w:rFonts w:ascii="Times New Roman" w:eastAsiaTheme="minorHAnsi" w:hAnsi="Times New Roman" w:cs="Times New Roman"/>
                <w:sz w:val="22"/>
                <w:szCs w:val="22"/>
                <w:lang w:eastAsia="en-US"/>
              </w:rPr>
              <w:lastRenderedPageBreak/>
              <w:t xml:space="preserve">konsekwencją jest możliwość wykorzystywania informacji w nim udostępnionych bez konieczności składania wniosku. BIP realizuje zatem cele zarówno dostępu do informacji publicznej, jak i ponownego wykorzystywania informacji sektora publicznego. Usunięcie zatem przedmiotowego ograniczenia prywatności w zakresie informacji o osobach pełniących funkcje publiczne spotęgowałoby niepewność prawną w zakresie możliwości wykorzystywania przez każdego zainteresowanego informacji udostępnianych na podstawie przepisów prawa (w wyniku realizacji obowiązków wynikających z prawa powszechnie obowiązującego) w BIP. </w:t>
            </w:r>
          </w:p>
          <w:p w14:paraId="188996E2"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Konkludując celem projektowanego art. 6 ust. 2 jest ochrona informacji ze sfery prywatności. Granicę ochrony prywatności na gruncie tego przepisu wyznacza informacja o osobach pełniących funkcje publiczne, mających związek z pełnieniem tych funkcji. Przepis swoim zakresem nie obejmuje – jak wskazał Prezes UODO – „nawet najbardziej wrażliwych informacji”, a jedynie te, które są nierozerwalnie związane z pełnieniem funkcji publicznych. </w:t>
            </w:r>
          </w:p>
          <w:p w14:paraId="69F79E3B" w14:textId="716E12CC" w:rsidR="008A3702" w:rsidRPr="00E35D35"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b/>
                <w:sz w:val="22"/>
                <w:szCs w:val="22"/>
                <w:lang w:eastAsia="en-US"/>
              </w:rPr>
              <w:t>Jednocześnie projektodawca w celu zachowania spójności z przepisami ustawy o dostępie do informacji publicznej uwzględnia uwagę Prezesa PUODO w zakresie w jakim dotyczy informacji o osobach wykonujących zawody lub działalność regulowaną.</w:t>
            </w:r>
          </w:p>
        </w:tc>
      </w:tr>
      <w:tr w:rsidR="008A3702" w:rsidRPr="00E35D35" w14:paraId="6F1A59F8" w14:textId="77777777" w:rsidTr="00F73818">
        <w:tc>
          <w:tcPr>
            <w:tcW w:w="676" w:type="dxa"/>
            <w:shd w:val="clear" w:color="auto" w:fill="auto"/>
          </w:tcPr>
          <w:p w14:paraId="122129A5"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1D475365" w14:textId="77777777" w:rsidR="008A3702" w:rsidRPr="00E35D35" w:rsidRDefault="00B37F04" w:rsidP="008A3702">
            <w:pPr>
              <w:spacing w:before="0" w:after="0" w:line="240" w:lineRule="auto"/>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Główny Urząd Statystyczny</w:t>
            </w:r>
          </w:p>
        </w:tc>
        <w:tc>
          <w:tcPr>
            <w:tcW w:w="1526" w:type="dxa"/>
            <w:shd w:val="clear" w:color="auto" w:fill="auto"/>
          </w:tcPr>
          <w:p w14:paraId="545702DC" w14:textId="77777777" w:rsidR="008A3702" w:rsidRPr="00E35D35" w:rsidRDefault="00B37F04" w:rsidP="008A3702">
            <w:pPr>
              <w:spacing w:before="0" w:after="0" w:line="240" w:lineRule="auto"/>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Art. 6</w:t>
            </w:r>
          </w:p>
        </w:tc>
        <w:tc>
          <w:tcPr>
            <w:tcW w:w="5323" w:type="dxa"/>
            <w:shd w:val="clear" w:color="auto" w:fill="auto"/>
          </w:tcPr>
          <w:p w14:paraId="2915A277"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GUS proponuje po art. 6 dodanie art. 6a w brzmieniu:</w:t>
            </w:r>
          </w:p>
          <w:p w14:paraId="3E068254"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 xml:space="preserve">„Art. 6a. 1. Przetwarzanie danych statystycznych, w szczególności danych osobowych do celów statystycznych, uzyskanych w badaniach statystycznych określonych w programie badań statystycznych statystyki </w:t>
            </w:r>
            <w:r w:rsidRPr="00B37F04">
              <w:rPr>
                <w:rFonts w:ascii="Times New Roman" w:eastAsiaTheme="minorHAnsi" w:hAnsi="Times New Roman" w:cs="Times New Roman"/>
                <w:sz w:val="22"/>
                <w:szCs w:val="22"/>
                <w:lang w:eastAsia="en-US"/>
              </w:rPr>
              <w:lastRenderedPageBreak/>
              <w:t>publicznej, o którym mowa w art. 18 ustawy z dnia 29 czerwca 1995 r. o statystyce publicznej, oraz w innych badaniach statystycznych, odbywa się na zasadach i podlega ograniczeniom określonym w ustawie z dnia 29 czerwca 1995 r. o statystyce publicznej.</w:t>
            </w:r>
          </w:p>
          <w:p w14:paraId="1AC294DA"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2. Prawo do ponownego wykorzystywania podlega wyłączeniu w przypadku danych jednostkowych identyfikowalnych, o których mowa w art. 2 pkt 8a ustawy z dnia 29 czerwca 1995 r. o statystyce publicznej.”.</w:t>
            </w:r>
          </w:p>
          <w:p w14:paraId="35D53BD9" w14:textId="77777777" w:rsid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w:t>
            </w:r>
          </w:p>
          <w:p w14:paraId="5065C6B4"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p>
          <w:p w14:paraId="6B84BD2E"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Dodatkowe uwagi GUS zgłoszone po konferencji uzgodnieniowej (pismo z 10.12.2020 r., GUS-GP03.0201.341.2020.97).</w:t>
            </w:r>
          </w:p>
          <w:p w14:paraId="5E5A8D16"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GUS podtrzymuje uwagę zgłoszoną przy piśmie z dnia 11 września 2020 r. dotyczącą potrzeby dodania art. 6a do projektowanej ustawy (</w:t>
            </w:r>
            <w:r w:rsidRPr="00B37F04">
              <w:rPr>
                <w:rFonts w:ascii="Times New Roman" w:eastAsiaTheme="minorHAnsi" w:hAnsi="Times New Roman" w:cs="Times New Roman"/>
                <w:i/>
                <w:sz w:val="22"/>
                <w:szCs w:val="22"/>
                <w:lang w:eastAsia="en-US"/>
              </w:rPr>
              <w:t>vide</w:t>
            </w:r>
            <w:r w:rsidRPr="00B37F04">
              <w:rPr>
                <w:rFonts w:ascii="Times New Roman" w:eastAsiaTheme="minorHAnsi" w:hAnsi="Times New Roman" w:cs="Times New Roman"/>
                <w:sz w:val="22"/>
                <w:szCs w:val="22"/>
                <w:lang w:eastAsia="en-US"/>
              </w:rPr>
              <w:t xml:space="preserve"> uwaga nr 65 w zestawieniu uwag).</w:t>
            </w:r>
          </w:p>
          <w:p w14:paraId="52E37D1A"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GUS proponuje po art. 6 dodanie art. 6a w brzmieniu:</w:t>
            </w:r>
          </w:p>
          <w:p w14:paraId="7C432ECD"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 xml:space="preserve">„Art. 6a. 1. Przetwarzanie danych statystycznych, w szczególności danych osobowych do celów statystycznych, uzyskanych w badaniach statystycznych określonych w programie badań statystycznych statystyki publicznej, o którym mowa w art. 18 ustawy z dnia 29 czerwca 1995 r. o statystyce publicznej, oraz w innych badaniach statystycznych, odbywa się na zasadach </w:t>
            </w:r>
            <w:r w:rsidRPr="00B37F04">
              <w:rPr>
                <w:rFonts w:ascii="Times New Roman" w:eastAsiaTheme="minorHAnsi" w:hAnsi="Times New Roman" w:cs="Times New Roman"/>
                <w:sz w:val="22"/>
                <w:szCs w:val="22"/>
                <w:lang w:eastAsia="en-US"/>
              </w:rPr>
              <w:lastRenderedPageBreak/>
              <w:t>i podlega ograniczeniom określonym w ustawie z dnia 29 czerwca 1995 r. o statystyce publicznej.</w:t>
            </w:r>
          </w:p>
          <w:p w14:paraId="38675EF1"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2. Prawo do ponownego wykorzystywania podlega wyłączeniu w przypadku danych jednostkowych identyfikowalnych, o których mowa w art. 2 pkt 8a ustawy z dnia 29 czerwca 1995 r. o statystyce publicznej.”.</w:t>
            </w:r>
          </w:p>
          <w:p w14:paraId="70B20FC0" w14:textId="6F26A984" w:rsidR="008A3702" w:rsidRPr="00E35D35" w:rsidRDefault="00B37F04" w:rsidP="00406F3B">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Proponowany przepis ma na celu zapewnienie bezwzględnego przestrzegania przy ponownym wykorzystywaniu informacji sektora publicznego zasad przetwarzania danych statystycznych oraz tajemnicy statystycznej, uregulowanych w ustawie z dnia 29 czerwca 1995 r. o statystyce publicznej. Propozycja ta ma ścisły związek z ww. uwagą dotyczącą konieczności uwypuklenia  tajemnicy statystycznej w treści art. 6 ust. 1 projektowanej ustawy.</w:t>
            </w:r>
          </w:p>
        </w:tc>
        <w:tc>
          <w:tcPr>
            <w:tcW w:w="4785" w:type="dxa"/>
            <w:shd w:val="clear" w:color="auto" w:fill="auto"/>
          </w:tcPr>
          <w:p w14:paraId="7A132E89" w14:textId="77777777" w:rsidR="00B37F04" w:rsidRPr="00B37F04" w:rsidRDefault="00B37F04" w:rsidP="00B37F04">
            <w:pPr>
              <w:spacing w:before="0" w:after="0" w:line="240" w:lineRule="auto"/>
              <w:rPr>
                <w:rFonts w:ascii="Times New Roman" w:eastAsiaTheme="minorHAnsi" w:hAnsi="Times New Roman" w:cs="Times New Roman"/>
                <w:b/>
                <w:sz w:val="22"/>
                <w:szCs w:val="22"/>
                <w:lang w:eastAsia="en-US"/>
              </w:rPr>
            </w:pPr>
            <w:r w:rsidRPr="00B37F04">
              <w:rPr>
                <w:rFonts w:ascii="Times New Roman" w:eastAsiaTheme="minorHAnsi" w:hAnsi="Times New Roman" w:cs="Times New Roman"/>
                <w:b/>
                <w:sz w:val="22"/>
                <w:szCs w:val="22"/>
                <w:lang w:eastAsia="en-US"/>
              </w:rPr>
              <w:lastRenderedPageBreak/>
              <w:t>Uwaga nieuwzględniona</w:t>
            </w:r>
          </w:p>
          <w:p w14:paraId="4CED2C4A" w14:textId="1499E142"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 xml:space="preserve">Projekt ustawy reguluje kwestię relacji przepisów ustaw szczególnych i przepisów projektowanej ustawy (reguły kolizyjne). Zgodne z art. 7 ust. 1 projektu ustawy w przypadku zbiegu przepisów </w:t>
            </w:r>
            <w:r w:rsidRPr="00B37F04">
              <w:rPr>
                <w:rFonts w:ascii="Times New Roman" w:eastAsiaTheme="minorHAnsi" w:hAnsi="Times New Roman" w:cs="Times New Roman"/>
                <w:sz w:val="22"/>
                <w:szCs w:val="22"/>
                <w:lang w:eastAsia="en-US"/>
              </w:rPr>
              <w:lastRenderedPageBreak/>
              <w:t>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B37F04">
              <w:rPr>
                <w:rFonts w:ascii="Times New Roman" w:eastAsiaTheme="minorHAnsi" w:hAnsi="Times New Roman" w:cs="Times New Roman"/>
                <w:sz w:val="22"/>
                <w:szCs w:val="22"/>
                <w:vertAlign w:val="superscript"/>
                <w:lang w:eastAsia="en-US"/>
              </w:rPr>
              <w:footnoteReference w:id="5"/>
            </w:r>
            <w:r w:rsidR="009A2628">
              <w:rPr>
                <w:rFonts w:ascii="Times New Roman" w:eastAsiaTheme="minorHAnsi" w:hAnsi="Times New Roman" w:cs="Times New Roman"/>
                <w:sz w:val="22"/>
                <w:szCs w:val="22"/>
                <w:vertAlign w:val="superscript"/>
                <w:lang w:eastAsia="en-US"/>
              </w:rPr>
              <w:t>)</w:t>
            </w:r>
            <w:r w:rsidRPr="00B37F04">
              <w:rPr>
                <w:rFonts w:ascii="Times New Roman" w:eastAsiaTheme="minorHAnsi" w:hAnsi="Times New Roman" w:cs="Times New Roman"/>
                <w:sz w:val="22"/>
                <w:szCs w:val="22"/>
                <w:lang w:eastAsia="en-US"/>
              </w:rPr>
              <w:t>).</w:t>
            </w:r>
          </w:p>
          <w:p w14:paraId="41C8E9BA" w14:textId="2C675E50"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B37F04">
              <w:rPr>
                <w:rFonts w:ascii="Times New Roman" w:eastAsiaTheme="minorHAnsi" w:hAnsi="Times New Roman" w:cs="Times New Roman"/>
                <w:sz w:val="22"/>
                <w:szCs w:val="22"/>
                <w:vertAlign w:val="superscript"/>
                <w:lang w:eastAsia="en-US"/>
              </w:rPr>
              <w:footnoteReference w:id="6"/>
            </w:r>
            <w:r w:rsidR="009A2628">
              <w:rPr>
                <w:rFonts w:ascii="Times New Roman" w:eastAsiaTheme="minorHAnsi" w:hAnsi="Times New Roman" w:cs="Times New Roman"/>
                <w:sz w:val="22"/>
                <w:szCs w:val="22"/>
                <w:vertAlign w:val="superscript"/>
                <w:lang w:eastAsia="en-US"/>
              </w:rPr>
              <w:t>)</w:t>
            </w:r>
            <w:r w:rsidRPr="00B37F04">
              <w:rPr>
                <w:rFonts w:ascii="Times New Roman" w:eastAsiaTheme="minorHAnsi" w:hAnsi="Times New Roman" w:cs="Times New Roman"/>
                <w:sz w:val="22"/>
                <w:szCs w:val="22"/>
                <w:lang w:eastAsia="en-US"/>
              </w:rPr>
              <w:t>).</w:t>
            </w:r>
          </w:p>
          <w:p w14:paraId="53BB4C0D"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 xml:space="preserve">Dodatkowo zgodnie z art. 6 ust. 1 projektu ustawy  prawo do ponownego wykorzystywania podlega ograniczeniu w zakresie i na zasadach określonych w przepisach o ochronie informacji niejawnych oraz o ochronie innych tajemnic ustawowo chronionych. </w:t>
            </w:r>
            <w:r w:rsidRPr="00B37F04">
              <w:rPr>
                <w:rFonts w:ascii="Times New Roman" w:eastAsiaTheme="minorHAnsi" w:hAnsi="Times New Roman" w:cs="Times New Roman"/>
                <w:sz w:val="22"/>
                <w:szCs w:val="22"/>
                <w:lang w:eastAsia="en-US"/>
              </w:rPr>
              <w:lastRenderedPageBreak/>
              <w:t xml:space="preserve">Inną tajemnicą ustawową chronioną, o której mowa w tym przepisie jest m.in. tajemnica statystyczna. </w:t>
            </w:r>
          </w:p>
          <w:p w14:paraId="53617380" w14:textId="77777777" w:rsidR="00B37F04" w:rsidRPr="00B37F04"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 xml:space="preserve">Jeżeli zatem ustawa z dnia 29 czerwca 1995 r. o statystce publicznej (Dz. U. z 2020 r. poz. 443, z późn. zm.) (jako ustawa szczególna) w sposób odmienny regulować będzie dostęp do danych lub zasady ich udostępniania, czy ponownego wykorzystywania – przepisy te będą znajdować pierwszeństwo przed projektowaną ustawą. </w:t>
            </w:r>
          </w:p>
          <w:p w14:paraId="5C98DB1A" w14:textId="77777777" w:rsidR="008A3702" w:rsidRPr="00E35D35" w:rsidRDefault="00B37F04" w:rsidP="00B37F04">
            <w:pPr>
              <w:spacing w:before="0" w:after="0" w:line="240" w:lineRule="auto"/>
              <w:jc w:val="both"/>
              <w:rPr>
                <w:rFonts w:ascii="Times New Roman" w:eastAsiaTheme="minorHAnsi" w:hAnsi="Times New Roman" w:cs="Times New Roman"/>
                <w:sz w:val="22"/>
                <w:szCs w:val="22"/>
                <w:lang w:eastAsia="en-US"/>
              </w:rPr>
            </w:pPr>
            <w:r w:rsidRPr="00B37F04">
              <w:rPr>
                <w:rFonts w:ascii="Times New Roman" w:eastAsiaTheme="minorHAnsi" w:hAnsi="Times New Roman" w:cs="Times New Roman"/>
                <w:sz w:val="22"/>
                <w:szCs w:val="22"/>
                <w:lang w:eastAsia="en-US"/>
              </w:rPr>
              <w:t>Mając powyższe na uwadze postulowana zmiana polegająca na wprowadzeniu do przepisów projektowanej ustawy dodatkowych regulacji wskazujących na konieczność przestrzegania przy ponownym wykorzystywaniu ISP zasad przetwarzania danych statystycznych oraz tajemnicy statystycznej, nie jest konieczna. Takie przepisy zostały w projekcie ustawy zawarte. Jest to art. 7 ust. 1 oraz powiązane z nimi art. 6 ust. 1 i 3, które stanowią dodatkowo przesłankę do wydania decyzji o odmowie przekazania ISP do ponownego wykorzystywania.</w:t>
            </w:r>
          </w:p>
        </w:tc>
      </w:tr>
      <w:tr w:rsidR="008A3702" w:rsidRPr="00E35D35" w14:paraId="28650A89" w14:textId="77777777" w:rsidTr="00F73818">
        <w:tc>
          <w:tcPr>
            <w:tcW w:w="676" w:type="dxa"/>
            <w:shd w:val="clear" w:color="auto" w:fill="auto"/>
          </w:tcPr>
          <w:p w14:paraId="60FA8404"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5A7704A" w14:textId="77777777" w:rsidR="008A3702" w:rsidRPr="008B66F2" w:rsidRDefault="00B37F04" w:rsidP="008A370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Urząd Ochrony Danych Osobowych</w:t>
            </w:r>
          </w:p>
        </w:tc>
        <w:tc>
          <w:tcPr>
            <w:tcW w:w="1526" w:type="dxa"/>
            <w:shd w:val="clear" w:color="auto" w:fill="auto"/>
          </w:tcPr>
          <w:p w14:paraId="038B6A67" w14:textId="77777777" w:rsidR="008A3702" w:rsidRPr="008B66F2" w:rsidRDefault="00B37F04" w:rsidP="008A370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Art. 7 ust. 3-5</w:t>
            </w:r>
          </w:p>
        </w:tc>
        <w:tc>
          <w:tcPr>
            <w:tcW w:w="5323" w:type="dxa"/>
            <w:shd w:val="clear" w:color="auto" w:fill="auto"/>
          </w:tcPr>
          <w:p w14:paraId="167DA8A5" w14:textId="77777777" w:rsidR="00B37F04" w:rsidRPr="008B66F2" w:rsidRDefault="00B37F04" w:rsidP="00B37F04">
            <w:pPr>
              <w:autoSpaceDE w:val="0"/>
              <w:autoSpaceDN w:val="0"/>
              <w:adjustRightInd w:val="0"/>
              <w:spacing w:before="0" w:after="0" w:line="240" w:lineRule="auto"/>
              <w:jc w:val="both"/>
              <w:rPr>
                <w:rFonts w:ascii="Times New Roman" w:eastAsiaTheme="minorHAnsi" w:hAnsi="Times New Roman" w:cs="Times New Roman"/>
                <w:i/>
                <w:iCs/>
                <w:sz w:val="22"/>
                <w:szCs w:val="22"/>
                <w:lang w:eastAsia="en-US"/>
              </w:rPr>
            </w:pPr>
            <w:r w:rsidRPr="008B66F2">
              <w:rPr>
                <w:rFonts w:ascii="Times New Roman" w:eastAsiaTheme="minorHAnsi" w:hAnsi="Times New Roman" w:cs="Times New Roman"/>
                <w:sz w:val="22"/>
                <w:szCs w:val="22"/>
                <w:lang w:eastAsia="en-US"/>
              </w:rPr>
              <w:t xml:space="preserve">Zgodnie z </w:t>
            </w:r>
            <w:r w:rsidRPr="008B66F2">
              <w:rPr>
                <w:rFonts w:ascii="Times New Roman" w:eastAsiaTheme="minorHAnsi" w:hAnsi="Times New Roman" w:cs="Times New Roman"/>
                <w:bCs/>
                <w:sz w:val="22"/>
                <w:szCs w:val="22"/>
                <w:lang w:eastAsia="en-US"/>
              </w:rPr>
              <w:t xml:space="preserve">art. 7 ust. 2 projektu </w:t>
            </w:r>
            <w:r w:rsidRPr="008B66F2">
              <w:rPr>
                <w:rFonts w:ascii="Times New Roman" w:eastAsiaTheme="minorHAnsi" w:hAnsi="Times New Roman" w:cs="Times New Roman"/>
                <w:i/>
                <w:iCs/>
                <w:sz w:val="22"/>
                <w:szCs w:val="22"/>
                <w:lang w:eastAsia="en-US"/>
              </w:rPr>
              <w:t>przepisy ustawy nie naruszają przepisów o ochronie danych osobowych</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 xml:space="preserve">W ust. 3 – 5 ww. przepisu </w:t>
            </w:r>
            <w:r w:rsidRPr="008B66F2">
              <w:rPr>
                <w:rFonts w:ascii="Times New Roman" w:eastAsiaTheme="minorHAnsi" w:hAnsi="Times New Roman" w:cs="Times New Roman"/>
                <w:sz w:val="22"/>
                <w:szCs w:val="22"/>
                <w:lang w:eastAsia="en-US"/>
              </w:rPr>
              <w:t>zawarto natomiast – w sprzeczności z ww. ust. 2 -</w:t>
            </w:r>
            <w:r w:rsidRPr="008B66F2">
              <w:rPr>
                <w:rFonts w:ascii="Times New Roman" w:eastAsiaTheme="minorHAnsi" w:hAnsi="Times New Roman" w:cs="Times New Roman"/>
                <w:bCs/>
                <w:sz w:val="22"/>
                <w:szCs w:val="22"/>
                <w:lang w:eastAsia="en-US"/>
              </w:rPr>
              <w:t>wyłączenia stosowania RODO</w:t>
            </w:r>
            <w:r w:rsidRPr="008B66F2">
              <w:rPr>
                <w:rFonts w:ascii="Times New Roman" w:eastAsiaTheme="minorHAnsi" w:hAnsi="Times New Roman" w:cs="Times New Roman"/>
                <w:sz w:val="22"/>
                <w:szCs w:val="22"/>
                <w:lang w:eastAsia="en-US"/>
              </w:rPr>
              <w:t xml:space="preserve">. Zgodnie z projektowanym przepisem </w:t>
            </w:r>
            <w:r w:rsidRPr="008B66F2">
              <w:rPr>
                <w:rFonts w:ascii="Times New Roman" w:eastAsiaTheme="minorHAnsi" w:hAnsi="Times New Roman" w:cs="Times New Roman"/>
                <w:i/>
                <w:iCs/>
                <w:sz w:val="22"/>
                <w:szCs w:val="22"/>
                <w:lang w:eastAsia="en-US"/>
              </w:rPr>
              <w:t>do przetwarzania danych osobowych w celu udostępniania lub przekazywania informacji sektora publicznego do ponownego wykorzystywania przepisu art. 13 ust. 3 RODO nie stosuje się</w:t>
            </w:r>
            <w:r w:rsidRPr="008B66F2">
              <w:rPr>
                <w:rFonts w:ascii="Times New Roman" w:eastAsiaTheme="minorHAnsi" w:hAnsi="Times New Roman" w:cs="Times New Roman"/>
                <w:sz w:val="22"/>
                <w:szCs w:val="22"/>
                <w:lang w:eastAsia="en-US"/>
              </w:rPr>
              <w:t xml:space="preserve">. Projektodawca przewiduje, że </w:t>
            </w:r>
            <w:r w:rsidRPr="008B66F2">
              <w:rPr>
                <w:rFonts w:ascii="Times New Roman" w:eastAsiaTheme="minorHAnsi" w:hAnsi="Times New Roman" w:cs="Times New Roman"/>
                <w:i/>
                <w:iCs/>
                <w:sz w:val="22"/>
                <w:szCs w:val="22"/>
                <w:lang w:eastAsia="en-US"/>
              </w:rPr>
              <w:t>do przetwarzania przez użytkownika, w celu ponownego wykorzystywania, danych</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osobowych: osób pełniących funkcje publiczne mających związek z pełnieniem tych funkcji, w tym</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 xml:space="preserve">o warunkach powierzenia i wykonywania tych funkcji; osób fizycznych reprezentujących osoby </w:t>
            </w:r>
            <w:r w:rsidRPr="008B66F2">
              <w:rPr>
                <w:rFonts w:ascii="Times New Roman" w:eastAsiaTheme="minorHAnsi" w:hAnsi="Times New Roman" w:cs="Times New Roman"/>
                <w:i/>
                <w:iCs/>
                <w:sz w:val="22"/>
                <w:szCs w:val="22"/>
                <w:lang w:eastAsia="en-US"/>
              </w:rPr>
              <w:lastRenderedPageBreak/>
              <w:t>prawne, w tym ich danych kontaktowych; obejmujących nazwę (firmę), numer identyfikacji podatkowej (NIP) albo imię i nazwisko kontrahenta podmiotu zobowiązanego; osób wykonujących zawody lub działalność regulowaną w zakresie w jakim zostały udostępnione lub przekazane przez podmioty zobowiązane do ponownego wykorzystania – przepisów art. 14 ust. 1–4 RODO nie stosuje się</w:t>
            </w:r>
            <w:r w:rsidRPr="008B66F2">
              <w:rPr>
                <w:rFonts w:ascii="Times New Roman" w:eastAsiaTheme="minorHAnsi" w:hAnsi="Times New Roman" w:cs="Times New Roman"/>
                <w:sz w:val="22"/>
                <w:szCs w:val="22"/>
                <w:lang w:eastAsia="en-US"/>
              </w:rPr>
              <w:t xml:space="preserve">. W projektowanym przepisie Projektodawca proponuje również, że </w:t>
            </w:r>
            <w:r w:rsidRPr="008B66F2">
              <w:rPr>
                <w:rFonts w:ascii="Times New Roman" w:eastAsiaTheme="minorHAnsi" w:hAnsi="Times New Roman" w:cs="Times New Roman"/>
                <w:i/>
                <w:iCs/>
                <w:sz w:val="22"/>
                <w:szCs w:val="22"/>
                <w:lang w:eastAsia="en-US"/>
              </w:rPr>
              <w:t>obowiązek, o którym mowa w art. 19 RODO, podmiot zobowiązany wykonuje przez zaktualizowanie danych odpowiednio na swojej stronie podmiotowej Biuletynu Informacji Publicznej, na portalu otwartych danych lub w inny sposób</w:t>
            </w:r>
            <w:r w:rsidRPr="008B66F2">
              <w:rPr>
                <w:rFonts w:ascii="Times New Roman" w:eastAsiaTheme="minorHAnsi" w:hAnsi="Times New Roman" w:cs="Times New Roman"/>
                <w:sz w:val="22"/>
                <w:szCs w:val="22"/>
                <w:lang w:eastAsia="en-US"/>
              </w:rPr>
              <w:t>.</w:t>
            </w:r>
          </w:p>
          <w:p w14:paraId="6DBB7065" w14:textId="77777777" w:rsidR="00B37F04" w:rsidRPr="008B66F2" w:rsidRDefault="00B37F04" w:rsidP="00B37F04">
            <w:pPr>
              <w:autoSpaceDE w:val="0"/>
              <w:autoSpaceDN w:val="0"/>
              <w:adjustRightInd w:val="0"/>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Wobec powyższego organ nadzorczy zwraca uwagę, że </w:t>
            </w:r>
            <w:r w:rsidRPr="008B66F2">
              <w:rPr>
                <w:rFonts w:ascii="Times New Roman" w:eastAsiaTheme="minorHAnsi" w:hAnsi="Times New Roman" w:cs="Times New Roman"/>
                <w:bCs/>
                <w:sz w:val="22"/>
                <w:szCs w:val="22"/>
                <w:lang w:eastAsia="en-US"/>
              </w:rPr>
              <w:t xml:space="preserve">ograniczenia </w:t>
            </w:r>
            <w:r w:rsidRPr="008B66F2">
              <w:rPr>
                <w:rFonts w:ascii="Times New Roman" w:eastAsiaTheme="minorHAnsi" w:hAnsi="Times New Roman" w:cs="Times New Roman"/>
                <w:sz w:val="22"/>
                <w:szCs w:val="22"/>
                <w:lang w:eastAsia="en-US"/>
              </w:rPr>
              <w:t xml:space="preserve">stosowania przepisów ogólnego rozporządzenia o ochronie danych osobowych po pierwsze nie mogą prowadzić do </w:t>
            </w:r>
            <w:r w:rsidRPr="008B66F2">
              <w:rPr>
                <w:rFonts w:ascii="Times New Roman" w:eastAsiaTheme="minorHAnsi" w:hAnsi="Times New Roman" w:cs="Times New Roman"/>
                <w:bCs/>
                <w:sz w:val="22"/>
                <w:szCs w:val="22"/>
                <w:lang w:eastAsia="en-US"/>
              </w:rPr>
              <w:t xml:space="preserve">wyłączenia </w:t>
            </w:r>
            <w:r w:rsidRPr="008B66F2">
              <w:rPr>
                <w:rFonts w:ascii="Times New Roman" w:eastAsiaTheme="minorHAnsi" w:hAnsi="Times New Roman" w:cs="Times New Roman"/>
                <w:sz w:val="22"/>
                <w:szCs w:val="22"/>
                <w:lang w:eastAsia="en-US"/>
              </w:rPr>
              <w:t xml:space="preserve">praw oraz mogą następować tylko gdy ograniczenie jest środkiem niezbędnym i proporcjonalnym do celów, ze względu na które jest wprowadzane. Po drugie ograniczenia mogą mieć miejsce tylko w ściśle wskazanych w przepisach RODO przypadkach oraz, po trzecie, mogą następować jedynie z uwzględnieniem zastosowania odpowiednich gwarancji w treści aktów prawnych ograniczających. Zgodnie bowiem z </w:t>
            </w:r>
            <w:r w:rsidRPr="008B66F2">
              <w:rPr>
                <w:rFonts w:ascii="Times New Roman" w:eastAsiaTheme="minorHAnsi" w:hAnsi="Times New Roman" w:cs="Times New Roman"/>
                <w:bCs/>
                <w:sz w:val="22"/>
                <w:szCs w:val="22"/>
                <w:lang w:eastAsia="en-US"/>
              </w:rPr>
              <w:t xml:space="preserve">art. 23 ust. 1 RODO </w:t>
            </w:r>
            <w:r w:rsidRPr="008B66F2">
              <w:rPr>
                <w:rFonts w:ascii="Times New Roman" w:eastAsiaTheme="minorHAnsi" w:hAnsi="Times New Roman" w:cs="Times New Roman"/>
                <w:i/>
                <w:iCs/>
                <w:sz w:val="22"/>
                <w:szCs w:val="22"/>
                <w:lang w:eastAsia="en-US"/>
              </w:rPr>
              <w:t>prawo Unii lub prawo państwa członkowskiego, któremu podlegają administrator danych lub</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i/>
                <w:iCs/>
                <w:sz w:val="22"/>
                <w:szCs w:val="22"/>
                <w:lang w:eastAsia="en-US"/>
              </w:rPr>
              <w:t>podmiot przetwarzający, może aktem prawnym ograniczyć zakres obowiązków i praw</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przewidzianych w art. 12-22 RODO i w art. 34 RODO, a także w art. 5 RODO o ile jego przepisy</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odpowiadają prawom i obowiązkom przewidzianym w art. 12-22 RODO j</w:t>
            </w:r>
            <w:r w:rsidRPr="008B66F2">
              <w:rPr>
                <w:rFonts w:ascii="Times New Roman" w:eastAsiaTheme="minorHAnsi" w:hAnsi="Times New Roman" w:cs="Times New Roman"/>
                <w:bCs/>
                <w:i/>
                <w:iCs/>
                <w:sz w:val="22"/>
                <w:szCs w:val="22"/>
                <w:lang w:eastAsia="en-US"/>
              </w:rPr>
              <w:t>eżeli ograniczenie takie</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i/>
                <w:iCs/>
                <w:sz w:val="22"/>
                <w:szCs w:val="22"/>
                <w:lang w:eastAsia="en-US"/>
              </w:rPr>
              <w:t xml:space="preserve">nie narusza istoty podstawowych praw i wolności </w:t>
            </w:r>
            <w:r w:rsidRPr="008B66F2">
              <w:rPr>
                <w:rFonts w:ascii="Times New Roman" w:eastAsiaTheme="minorHAnsi" w:hAnsi="Times New Roman" w:cs="Times New Roman"/>
                <w:i/>
                <w:iCs/>
                <w:sz w:val="22"/>
                <w:szCs w:val="22"/>
                <w:lang w:eastAsia="en-US"/>
              </w:rPr>
              <w:t xml:space="preserve">oraz </w:t>
            </w:r>
            <w:r w:rsidRPr="008B66F2">
              <w:rPr>
                <w:rFonts w:ascii="Times New Roman" w:eastAsiaTheme="minorHAnsi" w:hAnsi="Times New Roman" w:cs="Times New Roman"/>
                <w:bCs/>
                <w:i/>
                <w:iCs/>
                <w:sz w:val="22"/>
                <w:szCs w:val="22"/>
                <w:lang w:eastAsia="en-US"/>
              </w:rPr>
              <w:t>jest w demokratycznym społeczeństwie</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i/>
                <w:iCs/>
                <w:sz w:val="22"/>
                <w:szCs w:val="22"/>
                <w:lang w:eastAsia="en-US"/>
              </w:rPr>
              <w:t>środkiem niezbędnym i proporcjonalnym</w:t>
            </w:r>
            <w:r w:rsidRPr="008B66F2">
              <w:rPr>
                <w:rFonts w:ascii="Times New Roman" w:eastAsiaTheme="minorHAnsi" w:hAnsi="Times New Roman" w:cs="Times New Roman"/>
                <w:i/>
                <w:iCs/>
                <w:sz w:val="22"/>
                <w:szCs w:val="22"/>
                <w:lang w:eastAsia="en-US"/>
              </w:rPr>
              <w:t>, służącym celom wskazanym w art. 23 ust. 1 lit. a – j</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lastRenderedPageBreak/>
              <w:t>RODO</w:t>
            </w:r>
            <w:r w:rsidRPr="008B66F2">
              <w:rPr>
                <w:rFonts w:ascii="Times New Roman" w:eastAsiaTheme="minorHAnsi" w:hAnsi="Times New Roman" w:cs="Times New Roman"/>
                <w:sz w:val="22"/>
                <w:szCs w:val="22"/>
                <w:lang w:eastAsia="en-US"/>
              </w:rPr>
              <w:t xml:space="preserve">. Ponadto, </w:t>
            </w:r>
            <w:r w:rsidRPr="008B66F2">
              <w:rPr>
                <w:rFonts w:ascii="Times New Roman" w:eastAsiaTheme="minorHAnsi" w:hAnsi="Times New Roman" w:cs="Times New Roman"/>
                <w:bCs/>
                <w:sz w:val="22"/>
                <w:szCs w:val="22"/>
                <w:lang w:eastAsia="en-US"/>
              </w:rPr>
              <w:t xml:space="preserve">art. 23 ust. 2 RODO </w:t>
            </w:r>
            <w:r w:rsidRPr="008B66F2">
              <w:rPr>
                <w:rFonts w:ascii="Times New Roman" w:eastAsiaTheme="minorHAnsi" w:hAnsi="Times New Roman" w:cs="Times New Roman"/>
                <w:sz w:val="22"/>
                <w:szCs w:val="22"/>
                <w:lang w:eastAsia="en-US"/>
              </w:rPr>
              <w:t>określa jakie szczegółowe przepisy zawierać bezwzględnie musi akt prawny ograniczający zakres obowiązków i praw przewidzianych w RODO.</w:t>
            </w:r>
          </w:p>
          <w:p w14:paraId="4AD3C435" w14:textId="77777777" w:rsidR="00B37F04" w:rsidRPr="008B66F2" w:rsidRDefault="00B37F04" w:rsidP="00B37F04">
            <w:pPr>
              <w:autoSpaceDE w:val="0"/>
              <w:autoSpaceDN w:val="0"/>
              <w:adjustRightInd w:val="0"/>
              <w:spacing w:before="0" w:after="0" w:line="240" w:lineRule="auto"/>
              <w:jc w:val="both"/>
              <w:rPr>
                <w:rFonts w:ascii="Times New Roman" w:eastAsiaTheme="minorHAnsi" w:hAnsi="Times New Roman" w:cs="Times New Roman"/>
                <w:bCs/>
                <w:sz w:val="22"/>
                <w:szCs w:val="22"/>
                <w:lang w:eastAsia="en-US"/>
              </w:rPr>
            </w:pPr>
            <w:r w:rsidRPr="008B66F2">
              <w:rPr>
                <w:rFonts w:ascii="Times New Roman" w:eastAsiaTheme="minorHAnsi" w:hAnsi="Times New Roman" w:cs="Times New Roman"/>
                <w:sz w:val="22"/>
                <w:szCs w:val="22"/>
                <w:lang w:eastAsia="en-US"/>
              </w:rPr>
              <w:t xml:space="preserve">W ocenie Prezesa Urzędu Ochrony Danych Osobowych </w:t>
            </w:r>
            <w:r w:rsidRPr="008B66F2">
              <w:rPr>
                <w:rFonts w:ascii="Times New Roman" w:eastAsiaTheme="minorHAnsi" w:hAnsi="Times New Roman" w:cs="Times New Roman"/>
                <w:bCs/>
                <w:sz w:val="22"/>
                <w:szCs w:val="22"/>
                <w:lang w:eastAsia="en-US"/>
              </w:rPr>
              <w:t xml:space="preserve">nie jest zatem dopuszczalne wyłączanie realizacji praw informacyjnych </w:t>
            </w:r>
            <w:r w:rsidRPr="008B66F2">
              <w:rPr>
                <w:rFonts w:ascii="Times New Roman" w:eastAsiaTheme="minorHAnsi" w:hAnsi="Times New Roman" w:cs="Times New Roman"/>
                <w:sz w:val="22"/>
                <w:szCs w:val="22"/>
                <w:lang w:eastAsia="en-US"/>
              </w:rPr>
              <w:t>poprzez przyjęcie przepisów o niestosowaniu art.</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sz w:val="22"/>
                <w:szCs w:val="22"/>
                <w:lang w:eastAsia="en-US"/>
              </w:rPr>
              <w:t xml:space="preserve">13 ust. 3 oraz art. 14 ust. 1-4 RODO, bowiem postanowienia zawarte w </w:t>
            </w:r>
            <w:r w:rsidRPr="008B66F2">
              <w:rPr>
                <w:rFonts w:ascii="Times New Roman" w:eastAsiaTheme="minorHAnsi" w:hAnsi="Times New Roman" w:cs="Times New Roman"/>
                <w:bCs/>
                <w:sz w:val="22"/>
                <w:szCs w:val="22"/>
                <w:lang w:eastAsia="en-US"/>
              </w:rPr>
              <w:t xml:space="preserve">art. 7 ust. 3-4 projektu </w:t>
            </w:r>
            <w:r w:rsidRPr="008B66F2">
              <w:rPr>
                <w:rFonts w:ascii="Times New Roman" w:eastAsiaTheme="minorHAnsi" w:hAnsi="Times New Roman" w:cs="Times New Roman"/>
                <w:sz w:val="22"/>
                <w:szCs w:val="22"/>
                <w:lang w:eastAsia="en-US"/>
              </w:rPr>
              <w:t xml:space="preserve">naruszają istotę </w:t>
            </w:r>
            <w:r w:rsidRPr="008B66F2">
              <w:rPr>
                <w:rFonts w:ascii="Times New Roman" w:eastAsiaTheme="minorHAnsi" w:hAnsi="Times New Roman" w:cs="Times New Roman"/>
                <w:bCs/>
                <w:sz w:val="22"/>
                <w:szCs w:val="22"/>
                <w:lang w:eastAsia="en-US"/>
              </w:rPr>
              <w:t xml:space="preserve">podstawowych praw i wolności osób, które będą pozbawione szeregu praw i informacji zagwarantowanych im przepisami art. 13 ust. 3 oraz art. 14 ust. 1-4 RODO. </w:t>
            </w:r>
            <w:r w:rsidRPr="008B66F2">
              <w:rPr>
                <w:rFonts w:ascii="Times New Roman" w:eastAsiaTheme="minorHAnsi" w:hAnsi="Times New Roman" w:cs="Times New Roman"/>
                <w:sz w:val="22"/>
                <w:szCs w:val="22"/>
                <w:lang w:eastAsia="en-US"/>
              </w:rPr>
              <w:t xml:space="preserve">Przyjęcie takiego rozwiązania w art. 7 ust. 3-4 projektu </w:t>
            </w:r>
            <w:r w:rsidRPr="008B66F2">
              <w:rPr>
                <w:rFonts w:ascii="Times New Roman" w:eastAsiaTheme="minorHAnsi" w:hAnsi="Times New Roman" w:cs="Times New Roman"/>
                <w:bCs/>
                <w:sz w:val="22"/>
                <w:szCs w:val="22"/>
                <w:lang w:eastAsia="en-US"/>
              </w:rPr>
              <w:t xml:space="preserve">nie znajduje racji bytu tym bardziej w sytuacji gdy, jak wynika z </w:t>
            </w:r>
            <w:r w:rsidRPr="008B66F2">
              <w:rPr>
                <w:rFonts w:ascii="Times New Roman" w:eastAsiaTheme="minorHAnsi" w:hAnsi="Times New Roman" w:cs="Times New Roman"/>
                <w:sz w:val="22"/>
                <w:szCs w:val="22"/>
                <w:lang w:eastAsia="en-US"/>
              </w:rPr>
              <w:t xml:space="preserve">dyrektywy 2019/1024/UE, nie jest to środkiem </w:t>
            </w:r>
            <w:r w:rsidRPr="008B66F2">
              <w:rPr>
                <w:rFonts w:ascii="Times New Roman" w:eastAsiaTheme="minorHAnsi" w:hAnsi="Times New Roman" w:cs="Times New Roman"/>
                <w:bCs/>
                <w:sz w:val="22"/>
                <w:szCs w:val="22"/>
                <w:lang w:eastAsia="en-US"/>
              </w:rPr>
              <w:t xml:space="preserve">niezbędnym. </w:t>
            </w:r>
            <w:r w:rsidRPr="008B66F2">
              <w:rPr>
                <w:rFonts w:ascii="Times New Roman" w:eastAsiaTheme="minorHAnsi" w:hAnsi="Times New Roman" w:cs="Times New Roman"/>
                <w:sz w:val="22"/>
                <w:szCs w:val="22"/>
                <w:lang w:eastAsia="en-US"/>
              </w:rPr>
              <w:t xml:space="preserve">W motywie 71 dyrektywy 2019/1024/UE wprost wskazano bowiem, że </w:t>
            </w:r>
            <w:r w:rsidRPr="008B66F2">
              <w:rPr>
                <w:rFonts w:ascii="Times New Roman" w:eastAsiaTheme="minorHAnsi" w:hAnsi="Times New Roman" w:cs="Times New Roman"/>
                <w:i/>
                <w:iCs/>
                <w:sz w:val="22"/>
                <w:szCs w:val="22"/>
                <w:lang w:eastAsia="en-US"/>
              </w:rPr>
              <w:t>dyrektywa ta nie narusza praw podstawowych ani zasad uznanych w szczególności w Karcie praw podstawowych, w tym prawa do prywatności, ochrony danych osobowych, prawa własności oraz integracji osób z niepełnosprawnościami</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 xml:space="preserve">Należy również wskazać, że cel jakim jest </w:t>
            </w:r>
            <w:r w:rsidRPr="008B66F2">
              <w:rPr>
                <w:rFonts w:ascii="Times New Roman" w:eastAsiaTheme="minorHAnsi" w:hAnsi="Times New Roman" w:cs="Times New Roman"/>
                <w:sz w:val="22"/>
                <w:szCs w:val="22"/>
                <w:lang w:eastAsia="en-US"/>
              </w:rPr>
              <w:t xml:space="preserve">ponowne wykorzystywanie informacji sektora publicznego nie mieści się w katalogu celów określonych w art. 23 ust. 1 lit. a-j RODO. W konkluzji, przedmiotowe </w:t>
            </w:r>
            <w:r w:rsidRPr="008B66F2">
              <w:rPr>
                <w:rFonts w:ascii="Times New Roman" w:eastAsiaTheme="minorHAnsi" w:hAnsi="Times New Roman" w:cs="Times New Roman"/>
                <w:bCs/>
                <w:sz w:val="22"/>
                <w:szCs w:val="22"/>
                <w:lang w:eastAsia="en-US"/>
              </w:rPr>
              <w:t xml:space="preserve">ust. 3-4 w art. 7 projektu </w:t>
            </w:r>
            <w:r w:rsidRPr="008B66F2">
              <w:rPr>
                <w:rFonts w:ascii="Times New Roman" w:eastAsiaTheme="minorHAnsi" w:hAnsi="Times New Roman" w:cs="Times New Roman"/>
                <w:sz w:val="22"/>
                <w:szCs w:val="22"/>
                <w:lang w:eastAsia="en-US"/>
              </w:rPr>
              <w:t xml:space="preserve">są niezgodne z </w:t>
            </w:r>
            <w:r w:rsidRPr="008B66F2">
              <w:rPr>
                <w:rFonts w:ascii="Times New Roman" w:eastAsiaTheme="minorHAnsi" w:hAnsi="Times New Roman" w:cs="Times New Roman"/>
                <w:bCs/>
                <w:sz w:val="22"/>
                <w:szCs w:val="22"/>
                <w:lang w:eastAsia="en-US"/>
              </w:rPr>
              <w:t>zasadą zgodności</w:t>
            </w:r>
            <w:r w:rsidRPr="008B66F2">
              <w:rPr>
                <w:rFonts w:ascii="Times New Roman" w:eastAsiaTheme="minorHAnsi" w:hAnsi="Times New Roman" w:cs="Times New Roman"/>
                <w:i/>
                <w:iCs/>
                <w:sz w:val="22"/>
                <w:szCs w:val="22"/>
                <w:lang w:eastAsia="en-US"/>
              </w:rPr>
              <w:t xml:space="preserve"> </w:t>
            </w:r>
            <w:r w:rsidRPr="008B66F2">
              <w:rPr>
                <w:rFonts w:ascii="Times New Roman" w:eastAsiaTheme="minorHAnsi" w:hAnsi="Times New Roman" w:cs="Times New Roman"/>
                <w:bCs/>
                <w:sz w:val="22"/>
                <w:szCs w:val="22"/>
                <w:lang w:eastAsia="en-US"/>
              </w:rPr>
              <w:t xml:space="preserve">z prawem wynikającą z art. 5 ust. 1 lit. a RODO </w:t>
            </w:r>
            <w:r w:rsidRPr="008B66F2">
              <w:rPr>
                <w:rFonts w:ascii="Times New Roman" w:eastAsiaTheme="minorHAnsi" w:hAnsi="Times New Roman" w:cs="Times New Roman"/>
                <w:sz w:val="22"/>
                <w:szCs w:val="22"/>
                <w:lang w:eastAsia="en-US"/>
              </w:rPr>
              <w:t xml:space="preserve">oraz </w:t>
            </w:r>
            <w:r w:rsidRPr="008B66F2">
              <w:rPr>
                <w:rFonts w:ascii="Times New Roman" w:eastAsiaTheme="minorHAnsi" w:hAnsi="Times New Roman" w:cs="Times New Roman"/>
                <w:bCs/>
                <w:sz w:val="22"/>
                <w:szCs w:val="22"/>
                <w:lang w:eastAsia="en-US"/>
              </w:rPr>
              <w:t>pozostają w sprzeczności z art. 7 ust. 2</w:t>
            </w:r>
            <w:r w:rsidRPr="008B66F2">
              <w:rPr>
                <w:rFonts w:ascii="Times New Roman" w:eastAsiaTheme="minorHAnsi" w:hAnsi="Times New Roman" w:cs="Times New Roman"/>
                <w:i/>
                <w:iCs/>
                <w:sz w:val="22"/>
                <w:szCs w:val="22"/>
                <w:lang w:eastAsia="en-US"/>
              </w:rPr>
              <w:t xml:space="preserve"> </w:t>
            </w:r>
            <w:r w:rsidRPr="008B66F2">
              <w:rPr>
                <w:rFonts w:ascii="Times New Roman" w:eastAsiaTheme="minorHAnsi" w:hAnsi="Times New Roman" w:cs="Times New Roman"/>
                <w:bCs/>
                <w:sz w:val="22"/>
                <w:szCs w:val="22"/>
                <w:lang w:eastAsia="en-US"/>
              </w:rPr>
              <w:t xml:space="preserve">projektu, </w:t>
            </w:r>
            <w:r w:rsidRPr="008B66F2">
              <w:rPr>
                <w:rFonts w:ascii="Times New Roman" w:eastAsiaTheme="minorHAnsi" w:hAnsi="Times New Roman" w:cs="Times New Roman"/>
                <w:sz w:val="22"/>
                <w:szCs w:val="22"/>
                <w:lang w:eastAsia="en-US"/>
              </w:rPr>
              <w:t>zgodnie z którym przepisy ustawy nie naruszają przepisów o ochronie danych</w:t>
            </w:r>
            <w:r w:rsidRPr="008B66F2">
              <w:rPr>
                <w:rFonts w:ascii="Times New Roman" w:eastAsiaTheme="minorHAnsi" w:hAnsi="Times New Roman" w:cs="Times New Roman"/>
                <w:i/>
                <w:iCs/>
                <w:sz w:val="22"/>
                <w:szCs w:val="22"/>
                <w:lang w:eastAsia="en-US"/>
              </w:rPr>
              <w:t xml:space="preserve"> </w:t>
            </w:r>
            <w:r w:rsidRPr="008B66F2">
              <w:rPr>
                <w:rFonts w:ascii="Times New Roman" w:eastAsiaTheme="minorHAnsi" w:hAnsi="Times New Roman" w:cs="Times New Roman"/>
                <w:sz w:val="22"/>
                <w:szCs w:val="22"/>
                <w:lang w:eastAsia="en-US"/>
              </w:rPr>
              <w:t>osobowych.</w:t>
            </w:r>
          </w:p>
          <w:p w14:paraId="391B0649" w14:textId="77777777" w:rsidR="00B37F04" w:rsidRPr="008B66F2" w:rsidRDefault="00B37F04" w:rsidP="00B37F04">
            <w:pPr>
              <w:autoSpaceDE w:val="0"/>
              <w:autoSpaceDN w:val="0"/>
              <w:adjustRightInd w:val="0"/>
              <w:spacing w:before="0" w:after="0" w:line="240" w:lineRule="auto"/>
              <w:jc w:val="both"/>
              <w:rPr>
                <w:rFonts w:ascii="Times New Roman" w:eastAsiaTheme="minorHAnsi" w:hAnsi="Times New Roman" w:cs="Times New Roman"/>
                <w:bCs/>
                <w:sz w:val="22"/>
                <w:szCs w:val="22"/>
                <w:lang w:eastAsia="en-US"/>
              </w:rPr>
            </w:pPr>
            <w:r w:rsidRPr="008B66F2">
              <w:rPr>
                <w:rFonts w:ascii="Times New Roman" w:eastAsiaTheme="minorHAnsi" w:hAnsi="Times New Roman" w:cs="Times New Roman"/>
                <w:sz w:val="22"/>
                <w:szCs w:val="22"/>
                <w:lang w:eastAsia="en-US"/>
              </w:rPr>
              <w:t xml:space="preserve">Odrębnie potraktować należy brzmienie </w:t>
            </w:r>
            <w:r w:rsidRPr="008B66F2">
              <w:rPr>
                <w:rFonts w:ascii="Times New Roman" w:eastAsiaTheme="minorHAnsi" w:hAnsi="Times New Roman" w:cs="Times New Roman"/>
                <w:bCs/>
                <w:sz w:val="22"/>
                <w:szCs w:val="22"/>
                <w:lang w:eastAsia="en-US"/>
              </w:rPr>
              <w:t xml:space="preserve">art. 7 ust. 5 projektu </w:t>
            </w:r>
            <w:r w:rsidRPr="008B66F2">
              <w:rPr>
                <w:rFonts w:ascii="Times New Roman" w:eastAsiaTheme="minorHAnsi" w:hAnsi="Times New Roman" w:cs="Times New Roman"/>
                <w:sz w:val="22"/>
                <w:szCs w:val="22"/>
                <w:lang w:eastAsia="en-US"/>
              </w:rPr>
              <w:t xml:space="preserve">odnoszące się do </w:t>
            </w:r>
            <w:r w:rsidRPr="008B66F2">
              <w:rPr>
                <w:rFonts w:ascii="Times New Roman" w:eastAsiaTheme="minorHAnsi" w:hAnsi="Times New Roman" w:cs="Times New Roman"/>
                <w:bCs/>
                <w:sz w:val="22"/>
                <w:szCs w:val="22"/>
                <w:lang w:eastAsia="en-US"/>
              </w:rPr>
              <w:t xml:space="preserve">realizacji art. 19 RODO </w:t>
            </w:r>
            <w:r w:rsidRPr="008B66F2">
              <w:rPr>
                <w:rFonts w:ascii="Times New Roman" w:eastAsiaTheme="minorHAnsi" w:hAnsi="Times New Roman" w:cs="Times New Roman"/>
                <w:i/>
                <w:iCs/>
                <w:sz w:val="22"/>
                <w:szCs w:val="22"/>
                <w:lang w:eastAsia="en-US"/>
              </w:rPr>
              <w:t>- obowiązek, o którym mowa w art. 19 RODO, podmiot zobowiązany wykonuje</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i/>
                <w:iCs/>
                <w:sz w:val="22"/>
                <w:szCs w:val="22"/>
                <w:lang w:eastAsia="en-US"/>
              </w:rPr>
              <w:t xml:space="preserve">przez zaktualizowanie danych odpowiednio na swojej stronie podmiotowej Biuletynu </w:t>
            </w:r>
            <w:r w:rsidRPr="008B66F2">
              <w:rPr>
                <w:rFonts w:ascii="Times New Roman" w:eastAsiaTheme="minorHAnsi" w:hAnsi="Times New Roman" w:cs="Times New Roman"/>
                <w:i/>
                <w:iCs/>
                <w:sz w:val="22"/>
                <w:szCs w:val="22"/>
                <w:lang w:eastAsia="en-US"/>
              </w:rPr>
              <w:lastRenderedPageBreak/>
              <w:t>Informacji</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i/>
                <w:iCs/>
                <w:sz w:val="22"/>
                <w:szCs w:val="22"/>
                <w:lang w:eastAsia="en-US"/>
              </w:rPr>
              <w:t>Publicznej, na portalu otwartych danych lub w inny sposób</w:t>
            </w:r>
            <w:r w:rsidRPr="008B66F2">
              <w:rPr>
                <w:rFonts w:ascii="Times New Roman" w:eastAsiaTheme="minorHAnsi" w:hAnsi="Times New Roman" w:cs="Times New Roman"/>
                <w:sz w:val="22"/>
                <w:szCs w:val="22"/>
                <w:lang w:eastAsia="en-US"/>
              </w:rPr>
              <w:t>.</w:t>
            </w:r>
          </w:p>
          <w:p w14:paraId="5CCD00F9" w14:textId="77777777" w:rsidR="008A3702" w:rsidRPr="008B66F2" w:rsidRDefault="00B37F04" w:rsidP="00B37F04">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Zgodnie z art. 19 administrator informuje o sprostowaniu lub usunięciu danych osobowych lub ograniczeniu przetwarzania, których dokonał zgodnie z art. 16 RODO </w:t>
            </w:r>
            <w:r w:rsidRPr="008B66F2">
              <w:rPr>
                <w:rFonts w:ascii="Times New Roman" w:eastAsiaTheme="minorHAnsi" w:hAnsi="Times New Roman" w:cs="Times New Roman"/>
                <w:bCs/>
                <w:sz w:val="22"/>
                <w:szCs w:val="22"/>
                <w:lang w:eastAsia="en-US"/>
              </w:rPr>
              <w:t>(Prawo do sprostowania danych)</w:t>
            </w:r>
            <w:r w:rsidRPr="008B66F2">
              <w:rPr>
                <w:rFonts w:ascii="Times New Roman" w:eastAsiaTheme="minorHAnsi" w:hAnsi="Times New Roman" w:cs="Times New Roman"/>
                <w:sz w:val="22"/>
                <w:szCs w:val="22"/>
                <w:lang w:eastAsia="en-US"/>
              </w:rPr>
              <w:t xml:space="preserve">, art. 17 ust. 1 RODO </w:t>
            </w:r>
            <w:r w:rsidRPr="008B66F2">
              <w:rPr>
                <w:rFonts w:ascii="Times New Roman" w:eastAsiaTheme="minorHAnsi" w:hAnsi="Times New Roman" w:cs="Times New Roman"/>
                <w:bCs/>
                <w:sz w:val="22"/>
                <w:szCs w:val="22"/>
                <w:lang w:eastAsia="en-US"/>
              </w:rPr>
              <w:t xml:space="preserve">(Prawo do usunięcia danych) </w:t>
            </w:r>
            <w:r w:rsidRPr="008B66F2">
              <w:rPr>
                <w:rFonts w:ascii="Times New Roman" w:eastAsiaTheme="minorHAnsi" w:hAnsi="Times New Roman" w:cs="Times New Roman"/>
                <w:sz w:val="22"/>
                <w:szCs w:val="22"/>
                <w:lang w:eastAsia="en-US"/>
              </w:rPr>
              <w:t>i art. 18 RODO</w:t>
            </w:r>
            <w:r w:rsidRPr="008B66F2">
              <w:rPr>
                <w:rFonts w:ascii="Times New Roman" w:eastAsiaTheme="minorHAnsi" w:hAnsi="Times New Roman" w:cs="Times New Roman"/>
                <w:bCs/>
                <w:sz w:val="22"/>
                <w:szCs w:val="22"/>
                <w:lang w:eastAsia="en-US"/>
              </w:rPr>
              <w:t xml:space="preserve"> (Prawo do usunięcia danych)</w:t>
            </w:r>
            <w:r w:rsidRPr="008B66F2">
              <w:rPr>
                <w:rFonts w:ascii="Times New Roman" w:eastAsiaTheme="minorHAnsi" w:hAnsi="Times New Roman" w:cs="Times New Roman"/>
                <w:sz w:val="22"/>
                <w:szCs w:val="22"/>
                <w:lang w:eastAsia="en-US"/>
              </w:rPr>
              <w:t>, każdego odbiorcę, któremu ujawniono dane osobowe, chyba że</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sz w:val="22"/>
                <w:szCs w:val="22"/>
                <w:lang w:eastAsia="en-US"/>
              </w:rPr>
              <w:t>okaże się to niemożliwe lub będzie wymagać niewspółmiernie dużego wysiłku. Administrator</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sz w:val="22"/>
                <w:szCs w:val="22"/>
                <w:lang w:eastAsia="en-US"/>
              </w:rPr>
              <w:t>informuje osobę, której dane dotyczą, o tych odbiorcach, jeżeli osoba, której dane dotyczą, tego</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sz w:val="22"/>
                <w:szCs w:val="22"/>
                <w:lang w:eastAsia="en-US"/>
              </w:rPr>
              <w:t>zażąda. Zarówno w przepisach jak i w uzasadnieniu projektu brak jest wskazania z jakiego</w:t>
            </w:r>
            <w:r w:rsidRPr="008B66F2">
              <w:rPr>
                <w:rFonts w:ascii="Times New Roman" w:eastAsiaTheme="minorHAnsi" w:hAnsi="Times New Roman" w:cs="Times New Roman"/>
                <w:bCs/>
                <w:sz w:val="22"/>
                <w:szCs w:val="22"/>
                <w:lang w:eastAsia="en-US"/>
              </w:rPr>
              <w:t xml:space="preserve"> </w:t>
            </w:r>
            <w:r w:rsidRPr="008B66F2">
              <w:rPr>
                <w:rFonts w:ascii="Times New Roman" w:eastAsiaTheme="minorHAnsi" w:hAnsi="Times New Roman" w:cs="Times New Roman"/>
                <w:sz w:val="22"/>
                <w:szCs w:val="22"/>
                <w:lang w:eastAsia="en-US"/>
              </w:rPr>
              <w:t xml:space="preserve">powodu Projektodawca przyjął takie – nieodpowiadające przepisom RODO, w szczególności art. jego 19 - rozwiązanie i w jaki sposób będzie realizowany tak ukształtowany obowiązek. Należy podkreślić, że </w:t>
            </w:r>
            <w:r w:rsidRPr="008B66F2">
              <w:rPr>
                <w:rFonts w:ascii="Times New Roman" w:eastAsiaTheme="minorHAnsi" w:hAnsi="Times New Roman" w:cs="Times New Roman"/>
                <w:i/>
                <w:iCs/>
                <w:sz w:val="22"/>
                <w:szCs w:val="22"/>
                <w:lang w:eastAsia="en-US"/>
              </w:rPr>
              <w:t>zaktualizowanie danych odpowiednio na swojej stronie podmiotowej Biuletynu</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i/>
                <w:iCs/>
                <w:sz w:val="22"/>
                <w:szCs w:val="22"/>
                <w:lang w:eastAsia="en-US"/>
              </w:rPr>
              <w:t xml:space="preserve">Informacji Publicznej, na portalu otwartych danych lub w inny sposób </w:t>
            </w:r>
            <w:r w:rsidRPr="008B66F2">
              <w:rPr>
                <w:rFonts w:ascii="Times New Roman" w:eastAsiaTheme="minorHAnsi" w:hAnsi="Times New Roman" w:cs="Times New Roman"/>
                <w:sz w:val="22"/>
                <w:szCs w:val="22"/>
                <w:lang w:eastAsia="en-US"/>
              </w:rPr>
              <w:t xml:space="preserve">nie jest tożsame z poinformowaniem odbiorcy, któremu ujawniono dane osobowe co sprawia że, </w:t>
            </w:r>
            <w:r w:rsidRPr="008B66F2">
              <w:rPr>
                <w:rFonts w:ascii="Times New Roman" w:eastAsiaTheme="minorHAnsi" w:hAnsi="Times New Roman" w:cs="Times New Roman"/>
                <w:bCs/>
                <w:sz w:val="22"/>
                <w:szCs w:val="22"/>
                <w:lang w:eastAsia="en-US"/>
              </w:rPr>
              <w:t>art. 7 ust. 5</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projektu jest niezgodny także z zasadą zgodności z prawem wynikającą z art. 5 ust. 1 lit. a</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RODO</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Biorąc pod uwagę przytoczone argumenty Prezes Urzędu Ochrony Danych</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Osobowych oczekuje zmiany projektowanego art. 7 poprzez usunięcie z przepisu ust. 3-5</w:t>
            </w:r>
            <w:r w:rsidRPr="008B66F2">
              <w:rPr>
                <w:rFonts w:ascii="Times New Roman" w:eastAsiaTheme="minorHAnsi" w:hAnsi="Times New Roman" w:cs="Times New Roman"/>
                <w:sz w:val="22"/>
                <w:szCs w:val="22"/>
                <w:lang w:eastAsia="en-US"/>
              </w:rPr>
              <w:t xml:space="preserve"> </w:t>
            </w:r>
            <w:r w:rsidRPr="008B66F2">
              <w:rPr>
                <w:rFonts w:ascii="Times New Roman" w:eastAsiaTheme="minorHAnsi" w:hAnsi="Times New Roman" w:cs="Times New Roman"/>
                <w:bCs/>
                <w:sz w:val="22"/>
                <w:szCs w:val="22"/>
                <w:lang w:eastAsia="en-US"/>
              </w:rPr>
              <w:t>dotyczących ograniczenia zakresu obowiązków i praw przewidzianych w RODO</w:t>
            </w:r>
            <w:r w:rsidRPr="008B66F2">
              <w:rPr>
                <w:rFonts w:ascii="Times New Roman" w:eastAsiaTheme="minorHAnsi" w:hAnsi="Times New Roman" w:cs="Times New Roman"/>
                <w:b/>
                <w:bCs/>
                <w:sz w:val="22"/>
                <w:szCs w:val="22"/>
                <w:lang w:eastAsia="en-US"/>
              </w:rPr>
              <w:t>.</w:t>
            </w:r>
          </w:p>
        </w:tc>
        <w:tc>
          <w:tcPr>
            <w:tcW w:w="4785" w:type="dxa"/>
            <w:shd w:val="clear" w:color="auto" w:fill="auto"/>
          </w:tcPr>
          <w:p w14:paraId="4C8245B4" w14:textId="77777777" w:rsidR="008B66F2" w:rsidRPr="008B66F2" w:rsidRDefault="008B66F2" w:rsidP="008B66F2">
            <w:pPr>
              <w:spacing w:before="0" w:after="0" w:line="240" w:lineRule="auto"/>
              <w:rPr>
                <w:rFonts w:ascii="Times New Roman" w:eastAsiaTheme="minorHAnsi" w:hAnsi="Times New Roman" w:cs="Times New Roman"/>
                <w:b/>
                <w:sz w:val="22"/>
                <w:szCs w:val="22"/>
                <w:lang w:eastAsia="en-US"/>
              </w:rPr>
            </w:pPr>
            <w:r w:rsidRPr="008B66F2">
              <w:rPr>
                <w:rFonts w:ascii="Times New Roman" w:eastAsiaTheme="minorHAnsi" w:hAnsi="Times New Roman" w:cs="Times New Roman"/>
                <w:b/>
                <w:sz w:val="22"/>
                <w:szCs w:val="22"/>
                <w:lang w:eastAsia="en-US"/>
              </w:rPr>
              <w:lastRenderedPageBreak/>
              <w:t xml:space="preserve">Uwaga uwzględniona częściowo </w:t>
            </w:r>
          </w:p>
          <w:p w14:paraId="3CB8FB9C" w14:textId="77777777" w:rsidR="008B66F2" w:rsidRPr="008B66F2" w:rsidRDefault="008B66F2" w:rsidP="008B66F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1. Art. 7 ust. 4 i 5 – uwaga uwzględniona. </w:t>
            </w:r>
          </w:p>
          <w:p w14:paraId="1F9954C2"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Projektodawca uwzględnia uwagę Prezesa UODO w zakresie projektowanego art. 7 ust. 4 i 5. W opinii projektodawcy spełnienie wtórnego obowiązku informacyjnego przez użytkownika informacji sektora publicznego zawierającej dane osobowe powinno być każdorazowo oceniane w kontekście potencjalnego wyłączenia przedmiotowego obowiązku w oparciu o przesłanki wymienione w art. 14 ust. 5 RODO. Z kolei obowiązek powiadomienia, o którym mowa w art. 19 RODO należy rozpatrywać w kontekście możliwości jego realizacji lub niewspółmiernie dużego wysiłku.</w:t>
            </w:r>
          </w:p>
          <w:p w14:paraId="58555C15"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p>
          <w:p w14:paraId="5DBA8804"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2. Art. 7 ust. 3 – uwaga nieuwzględniona. </w:t>
            </w:r>
          </w:p>
          <w:p w14:paraId="5800DAFE" w14:textId="77777777" w:rsidR="008B66F2" w:rsidRPr="008B66F2" w:rsidRDefault="008B66F2" w:rsidP="008B66F2">
            <w:pPr>
              <w:spacing w:before="0" w:after="0" w:line="240" w:lineRule="auto"/>
              <w:jc w:val="both"/>
              <w:rPr>
                <w:rFonts w:ascii="Times New Roman" w:eastAsiaTheme="minorHAnsi" w:hAnsi="Times New Roman" w:cs="Times New Roman"/>
                <w:bCs/>
                <w:sz w:val="22"/>
                <w:szCs w:val="22"/>
                <w:lang w:eastAsia="en-US"/>
              </w:rPr>
            </w:pPr>
            <w:r w:rsidRPr="008B66F2">
              <w:rPr>
                <w:rFonts w:ascii="Times New Roman" w:eastAsiaTheme="minorHAnsi" w:hAnsi="Times New Roman" w:cs="Times New Roman"/>
                <w:sz w:val="22"/>
                <w:szCs w:val="22"/>
                <w:lang w:eastAsia="en-US"/>
              </w:rPr>
              <w:t>W odniesieniu do art. 7 ust. 3 projektodawca proponuje zachowanie przedstawionego w opiniowaniu brzemienia przepisu, tj.  „</w:t>
            </w:r>
            <w:r w:rsidRPr="008B66F2">
              <w:rPr>
                <w:rFonts w:ascii="Times New Roman" w:eastAsiaTheme="minorHAnsi" w:hAnsi="Times New Roman" w:cs="Times New Roman"/>
                <w:bCs/>
                <w:sz w:val="22"/>
                <w:szCs w:val="22"/>
                <w:lang w:eastAsia="en-US"/>
              </w:rPr>
              <w:t xml:space="preserve">do przetwarzania danych osobowych w celu udostępniania lub przekazywania informacji sektora publicznego do ponownego wykorzystywania przepisu art. 13 ust. 3 RODO nie stosuje się”. 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w:t>
            </w:r>
            <w:r w:rsidRPr="008B66F2">
              <w:rPr>
                <w:rFonts w:ascii="Times New Roman" w:eastAsiaTheme="minorHAnsi" w:hAnsi="Times New Roman" w:cs="Times New Roman"/>
                <w:bCs/>
                <w:sz w:val="22"/>
                <w:szCs w:val="22"/>
                <w:lang w:eastAsia="en-US"/>
              </w:rPr>
              <w:lastRenderedPageBreak/>
              <w:t>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p w14:paraId="33DE1E70" w14:textId="77777777" w:rsidR="008B66F2" w:rsidRPr="008B66F2" w:rsidRDefault="008B66F2" w:rsidP="008B66F2">
            <w:pPr>
              <w:spacing w:before="0" w:after="0" w:line="240" w:lineRule="auto"/>
              <w:jc w:val="both"/>
              <w:rPr>
                <w:rFonts w:ascii="Times New Roman" w:eastAsiaTheme="minorHAnsi" w:hAnsi="Times New Roman" w:cs="Times New Roman"/>
                <w:bCs/>
                <w:sz w:val="22"/>
                <w:szCs w:val="22"/>
                <w:lang w:eastAsia="en-US"/>
              </w:rPr>
            </w:pPr>
            <w:r w:rsidRPr="008B66F2">
              <w:rPr>
                <w:rFonts w:ascii="Times New Roman" w:eastAsiaTheme="minorHAnsi" w:hAnsi="Times New Roman" w:cs="Times New Roman"/>
                <w:bCs/>
                <w:sz w:val="22"/>
                <w:szCs w:val="22"/>
                <w:lang w:eastAsia="en-US"/>
              </w:rPr>
              <w:t>W przypadku podtrzymania uwagi,  uprzejmie proszę Prezesa UODO o opinię w zakresie skutków postulowanego usunięcia z projektu art. 7 ust. 3 w kontekście każdorazowego informowania osoby, której dane dotyczą, na mocy art. 13 ust. 3 RODO, w sytuacji w której podmiot zobowiązany przetwarza jej dane osobowe wypełniając obowiązek nałożony przepisami prawa (również w sytuacji w której nie dochodzi do przekazania danych osobowych użytkownikowi) oraz sposobu realizacji obowiązku wynikającego z art. 13 ust. 3 RODO w ramach stosowania przepisów o ponownym wykorzystywaniu informacji sektora publicznego.</w:t>
            </w:r>
          </w:p>
          <w:p w14:paraId="3FAB4439" w14:textId="77777777" w:rsidR="008A3702" w:rsidRPr="00E35D35" w:rsidRDefault="008A3702" w:rsidP="008A3702">
            <w:pPr>
              <w:spacing w:before="0" w:after="0" w:line="240" w:lineRule="auto"/>
              <w:rPr>
                <w:rFonts w:ascii="Times New Roman" w:eastAsiaTheme="minorHAnsi" w:hAnsi="Times New Roman" w:cs="Times New Roman"/>
                <w:sz w:val="22"/>
                <w:szCs w:val="22"/>
                <w:lang w:eastAsia="en-US"/>
              </w:rPr>
            </w:pPr>
          </w:p>
        </w:tc>
      </w:tr>
      <w:tr w:rsidR="008B66F2" w:rsidRPr="00E35D35" w14:paraId="2366C5FA" w14:textId="77777777" w:rsidTr="00F73818">
        <w:tc>
          <w:tcPr>
            <w:tcW w:w="676" w:type="dxa"/>
            <w:shd w:val="clear" w:color="auto" w:fill="auto"/>
          </w:tcPr>
          <w:p w14:paraId="225E1D4B" w14:textId="77777777" w:rsidR="008B66F2" w:rsidRPr="00E35D35" w:rsidRDefault="008B66F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F96990C" w14:textId="0021EC05" w:rsidR="008B66F2" w:rsidRPr="008B66F2" w:rsidRDefault="008B66F2" w:rsidP="008A3702">
            <w:pPr>
              <w:spacing w:before="0" w:after="0" w:line="240" w:lineRule="auto"/>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Kancelaria Prezydenta RP</w:t>
            </w:r>
          </w:p>
        </w:tc>
        <w:tc>
          <w:tcPr>
            <w:tcW w:w="1526" w:type="dxa"/>
            <w:shd w:val="clear" w:color="auto" w:fill="auto"/>
          </w:tcPr>
          <w:p w14:paraId="1F7A09D3" w14:textId="5A9A3B50" w:rsidR="008B66F2" w:rsidRPr="008B66F2" w:rsidRDefault="008B66F2" w:rsidP="008B66F2">
            <w:pPr>
              <w:spacing w:before="0" w:after="0" w:line="240" w:lineRule="auto"/>
              <w:jc w:val="center"/>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Art. 7 ust. 2-5</w:t>
            </w:r>
          </w:p>
        </w:tc>
        <w:tc>
          <w:tcPr>
            <w:tcW w:w="5323" w:type="dxa"/>
            <w:shd w:val="clear" w:color="auto" w:fill="auto"/>
          </w:tcPr>
          <w:p w14:paraId="27D79A6D" w14:textId="24734BC4" w:rsidR="008B66F2" w:rsidRPr="008B66F2" w:rsidRDefault="008B66F2" w:rsidP="00B37F04">
            <w:pPr>
              <w:autoSpaceDE w:val="0"/>
              <w:autoSpaceDN w:val="0"/>
              <w:adjustRightInd w:val="0"/>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Przepisy art. 7 ust. 2-5 projektu ustawy wprawdzie wskazują na ogólną regułę kolizyjną, zgodnie z którą przepisy projektu ustawy nie naruszają ochrony danych osobowych, jednakże powstaje pytanie, czy powyższe zastrzeżenie oraz wskazanie sposobu realizacji przez podmioty zobowiązane jednego spośród licznych </w:t>
            </w:r>
            <w:r w:rsidRPr="008B66F2">
              <w:rPr>
                <w:rFonts w:ascii="Times New Roman" w:eastAsiaTheme="minorHAnsi" w:hAnsi="Times New Roman" w:cs="Times New Roman"/>
                <w:sz w:val="22"/>
                <w:szCs w:val="22"/>
                <w:lang w:eastAsia="en-US"/>
              </w:rPr>
              <w:lastRenderedPageBreak/>
              <w:t>obowiązków informacyjnych można uznać za owo „pogodzenie” ponownego wykorzystywania informacji sektora publicznego z prawem do ochrony danych osobowych. Tymczasem, zgodnie z art. 86 RODO, dane osobowe zawarte w dokumentach urzędowych, które posiada organ lub podmiot publiczny lub podmiot prywatny w celu wykonania zadania realizowanego w interesie publicznym, mogą zostać przez ten organ lub podmiot ujawnione zgodnie z prawem Unii lub prawem państwa członkowskiego, któremu podlega ten organ lub podmiot, dla pogodzenia publicznego dostępu do dokumentów urzędowych z prawem do ochrony danych osobowych na mocy niniejszego rozporządzenia. Wymogi takiego pogodzenia można wywodzić z art. 6 ust. 1 lit. c oraz lit. e RODO, jak również z art. 6 ust. 2 i 3 RODO. Przepisy projektu ustawy nie przewidują szczególnych wymogów przetwarzania danych osobowych, których określenie umożliwia art. 6 ust. 2 RODO, jak i nie zawierają przepisów wskazanych w art. 6 ust. 3 RODO, zapewniających proporcjonalne stosowanie RODO, adekwatne dla celu przetwarzania, jakim jest realizacja prawa do ponownego wykorzystywania informacji. Zasadne jest, zatem, rozważenie określenia ustawowych kryteriów proporcjonalności zakresu przetwarzania danych do celu ponownego wykorzystywania.</w:t>
            </w:r>
          </w:p>
        </w:tc>
        <w:tc>
          <w:tcPr>
            <w:tcW w:w="4785" w:type="dxa"/>
            <w:shd w:val="clear" w:color="auto" w:fill="auto"/>
          </w:tcPr>
          <w:p w14:paraId="6426A5AE" w14:textId="77777777" w:rsidR="008B66F2" w:rsidRPr="008B66F2" w:rsidRDefault="008B66F2" w:rsidP="008B66F2">
            <w:pPr>
              <w:spacing w:before="0" w:after="0" w:line="240" w:lineRule="auto"/>
              <w:jc w:val="both"/>
              <w:rPr>
                <w:rFonts w:ascii="Times New Roman" w:eastAsiaTheme="minorHAnsi" w:hAnsi="Times New Roman" w:cs="Times New Roman"/>
                <w:b/>
                <w:sz w:val="22"/>
                <w:szCs w:val="22"/>
                <w:lang w:eastAsia="en-US"/>
              </w:rPr>
            </w:pPr>
            <w:r w:rsidRPr="008B66F2">
              <w:rPr>
                <w:rFonts w:ascii="Times New Roman" w:eastAsiaTheme="minorHAnsi" w:hAnsi="Times New Roman" w:cs="Times New Roman"/>
                <w:b/>
                <w:sz w:val="22"/>
                <w:szCs w:val="22"/>
                <w:lang w:eastAsia="en-US"/>
              </w:rPr>
              <w:lastRenderedPageBreak/>
              <w:t xml:space="preserve">Uwaga nieuwzględniona </w:t>
            </w:r>
          </w:p>
          <w:p w14:paraId="39AEEBB0"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Wyjaśnienia wstępne.</w:t>
            </w:r>
          </w:p>
          <w:p w14:paraId="069492DC"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Zgodnie z art. 1 ust. 4 dyrektywy 2019/1024/UE Parlamentu Europejskiego i Rady z dnia 20 czerwca 2019 r. w sprawie otwartych danych i ponownego wykorzystywania informacji sektora publicznego </w:t>
            </w:r>
            <w:r w:rsidRPr="008B66F2">
              <w:rPr>
                <w:rFonts w:ascii="Times New Roman" w:eastAsiaTheme="minorHAnsi" w:hAnsi="Times New Roman" w:cs="Times New Roman"/>
                <w:sz w:val="22"/>
                <w:szCs w:val="22"/>
                <w:lang w:eastAsia="en-US"/>
              </w:rPr>
              <w:lastRenderedPageBreak/>
              <w:t>(która ma zostać implementowana do krajowego porządku prawnego przepisami projektowanej ustawy) dyrektywa pozostaje bez uszczerbku dla krajowych i unijnych przepisów dotyczących ochrony danych osobowych, w szczególności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i Dyrektywy 2002/58/WE2, a także odpowiadających im przepisów prawa krajowego. Tym samym przepisy projektowanej ustawy należy odnieść do treści art. 86 i motywu 154 preambuły ogólnego rozporządzenia.</w:t>
            </w:r>
          </w:p>
          <w:p w14:paraId="0CD2C62F"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Celem przedmiotowego przepisu ogólnego rozporządzenia jest wyznaczenie relacji między prawem do ochrony danych osobowych a dostępem do dokumentów urzędowych (na gruncie prawa krajowego dostępu do informacji publicznej), a zgodnie z dyspozycją motywu 154 również ponownego wykorzystywania informacji sektora publicznego. Zgodnie z tymi przepisami  przepisy krajowe powinny godzić publiczny dostęp do dokumentów urzędowych i ponowne wykorzystywanie informacji sektora publicznego z prawem do ochrony danych osobowych i dlatego mogą przewidywać niezbędne uwzględnienie prawa do ochrony danych osobowych na podstawie tego rozporządzenia. Łączna interpretacja art. 86 i motywu 154 preambuły RODO pozwala na wyprowadzenie wniosku, że ogólne rozporządzenie nie wyłącza możliwości ujawnienia danych </w:t>
            </w:r>
            <w:r w:rsidRPr="008B66F2">
              <w:rPr>
                <w:rFonts w:ascii="Times New Roman" w:eastAsiaTheme="minorHAnsi" w:hAnsi="Times New Roman" w:cs="Times New Roman"/>
                <w:sz w:val="22"/>
                <w:szCs w:val="22"/>
                <w:lang w:eastAsia="en-US"/>
              </w:rPr>
              <w:lastRenderedPageBreak/>
              <w:t>osobowych stanowiących informacje sektora publicznego w ramach ponownego wykorzystywania, o ile przepisy prawa krajowego to przewidują. Uznanie ponownego wykorzystywania za interes publiczny na gruncie art. 86 oznacza, że RODO nie wyłącza możliwości ujawnienia danych osobowych stanowiących informacje sektora publicznego w ramach ponownego wykorzystywania. Oznacza to, że krajowe organy publiczne lub podmioty publiczne (czyli na gruncie projektu - podmioty zobowiązane), powinny mieć zapewnioną możliwość, aby w ramach informacji sektora publicznego przekazywanych lub udostępnianych do ponownego wykorzystywania znajdowały się dane osobowe, jeżeli takie ujawnienie przewidziane zostało przepisami prawa państwa członkowskiego. Ochrona danych osobowych z góry nie wyłącza zatem możliwości ponownego wykorzystywania danych osobowych w ramach informacji sektora publicznego.</w:t>
            </w:r>
          </w:p>
          <w:p w14:paraId="0D09BEC3" w14:textId="77777777" w:rsidR="008B66F2" w:rsidRPr="008B66F2" w:rsidRDefault="008B66F2" w:rsidP="008B66F2">
            <w:pPr>
              <w:spacing w:before="0" w:after="0" w:line="240" w:lineRule="auto"/>
              <w:jc w:val="both"/>
              <w:rPr>
                <w:rFonts w:ascii="Times New Roman" w:eastAsiaTheme="minorHAnsi" w:hAnsi="Times New Roman" w:cs="Times New Roman"/>
                <w:b/>
                <w:sz w:val="22"/>
                <w:szCs w:val="22"/>
                <w:lang w:eastAsia="en-US"/>
              </w:rPr>
            </w:pPr>
          </w:p>
          <w:p w14:paraId="49E7EF78"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1. Art. 7 ust. 4 i 5 – przepisy zostaną usunięte z projektu.</w:t>
            </w:r>
          </w:p>
          <w:p w14:paraId="61DAA403"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p>
          <w:p w14:paraId="1BD2E3A1" w14:textId="77777777" w:rsidR="008B66F2" w:rsidRPr="008B66F2" w:rsidRDefault="008B66F2" w:rsidP="008B66F2">
            <w:pPr>
              <w:spacing w:before="0" w:after="0" w:line="240" w:lineRule="auto"/>
              <w:jc w:val="both"/>
              <w:rPr>
                <w:rFonts w:ascii="Times New Roman" w:eastAsiaTheme="minorHAnsi" w:hAnsi="Times New Roman" w:cs="Times New Roman"/>
                <w:sz w:val="22"/>
                <w:szCs w:val="22"/>
                <w:lang w:eastAsia="en-US"/>
              </w:rPr>
            </w:pPr>
            <w:r w:rsidRPr="008B66F2">
              <w:rPr>
                <w:rFonts w:ascii="Times New Roman" w:eastAsiaTheme="minorHAnsi" w:hAnsi="Times New Roman" w:cs="Times New Roman"/>
                <w:sz w:val="22"/>
                <w:szCs w:val="22"/>
                <w:lang w:eastAsia="en-US"/>
              </w:rPr>
              <w:t xml:space="preserve">2. Art. 7 ust. 3 – wyjaśnienie. </w:t>
            </w:r>
          </w:p>
          <w:p w14:paraId="154C18F9" w14:textId="0473577B" w:rsidR="008B66F2" w:rsidRPr="008B66F2" w:rsidRDefault="008B66F2" w:rsidP="008B66F2">
            <w:pPr>
              <w:spacing w:before="0" w:after="0" w:line="240" w:lineRule="auto"/>
              <w:jc w:val="both"/>
              <w:rPr>
                <w:rFonts w:ascii="Times New Roman" w:eastAsiaTheme="minorHAnsi" w:hAnsi="Times New Roman" w:cs="Times New Roman"/>
                <w:b/>
                <w:sz w:val="22"/>
                <w:szCs w:val="22"/>
                <w:lang w:eastAsia="en-US"/>
              </w:rPr>
            </w:pPr>
            <w:r w:rsidRPr="008B66F2">
              <w:rPr>
                <w:rFonts w:ascii="Times New Roman" w:eastAsiaTheme="minorHAnsi" w:hAnsi="Times New Roman" w:cs="Times New Roman"/>
                <w:bCs/>
                <w:sz w:val="22"/>
                <w:szCs w:val="22"/>
                <w:lang w:eastAsia="en-US"/>
              </w:rPr>
              <w:t xml:space="preserve">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w:t>
            </w:r>
            <w:r w:rsidRPr="008B66F2">
              <w:rPr>
                <w:rFonts w:ascii="Times New Roman" w:eastAsiaTheme="minorHAnsi" w:hAnsi="Times New Roman" w:cs="Times New Roman"/>
                <w:bCs/>
                <w:sz w:val="22"/>
                <w:szCs w:val="22"/>
                <w:lang w:eastAsia="en-US"/>
              </w:rPr>
              <w:lastRenderedPageBreak/>
              <w:t>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tc>
      </w:tr>
      <w:tr w:rsidR="008A3702" w:rsidRPr="00E35D35" w14:paraId="708D5293" w14:textId="77777777" w:rsidTr="00F73818">
        <w:tc>
          <w:tcPr>
            <w:tcW w:w="676" w:type="dxa"/>
            <w:shd w:val="clear" w:color="auto" w:fill="auto"/>
          </w:tcPr>
          <w:p w14:paraId="4751FCB7"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F58D53E" w14:textId="77777777" w:rsidR="008A3702" w:rsidRPr="00E35D35" w:rsidRDefault="00F73818" w:rsidP="008A3702">
            <w:pPr>
              <w:spacing w:before="0" w:after="0" w:line="240" w:lineRule="auto"/>
              <w:rPr>
                <w:rFonts w:ascii="Times New Roman" w:eastAsiaTheme="minorHAnsi" w:hAnsi="Times New Roman" w:cs="Times New Roman"/>
                <w:sz w:val="22"/>
                <w:szCs w:val="22"/>
                <w:lang w:eastAsia="en-US"/>
              </w:rPr>
            </w:pPr>
            <w:r w:rsidRPr="00F73818">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7DF9806A" w14:textId="77777777" w:rsidR="008A3702" w:rsidRPr="00F73818" w:rsidRDefault="00F73818" w:rsidP="00F73818">
            <w:pPr>
              <w:spacing w:before="0" w:after="0" w:line="240" w:lineRule="auto"/>
              <w:rPr>
                <w:rFonts w:ascii="Times New Roman" w:eastAsiaTheme="minorHAnsi" w:hAnsi="Times New Roman" w:cs="Times New Roman"/>
                <w:sz w:val="22"/>
                <w:szCs w:val="22"/>
                <w:lang w:eastAsia="en-US"/>
              </w:rPr>
            </w:pPr>
            <w:r w:rsidRPr="00F73818">
              <w:rPr>
                <w:rFonts w:ascii="Times New Roman" w:hAnsi="Times New Roman" w:cs="Times New Roman"/>
                <w:sz w:val="22"/>
                <w:szCs w:val="22"/>
              </w:rPr>
              <w:t>Art. 9 ust. 2</w:t>
            </w:r>
          </w:p>
        </w:tc>
        <w:tc>
          <w:tcPr>
            <w:tcW w:w="5323" w:type="dxa"/>
            <w:shd w:val="clear" w:color="auto" w:fill="auto"/>
          </w:tcPr>
          <w:p w14:paraId="67C05AFE" w14:textId="77777777" w:rsidR="00F73818" w:rsidRPr="00F73818" w:rsidRDefault="00F73818" w:rsidP="00F73818">
            <w:pPr>
              <w:spacing w:before="0" w:after="0" w:line="240" w:lineRule="auto"/>
              <w:jc w:val="both"/>
              <w:rPr>
                <w:rFonts w:ascii="Times New Roman" w:eastAsiaTheme="minorHAnsi" w:hAnsi="Times New Roman" w:cs="Times New Roman"/>
                <w:sz w:val="22"/>
                <w:szCs w:val="22"/>
                <w:lang w:eastAsia="en-US"/>
              </w:rPr>
            </w:pPr>
            <w:r w:rsidRPr="00F73818">
              <w:rPr>
                <w:rFonts w:ascii="Times New Roman" w:eastAsiaTheme="minorHAnsi" w:hAnsi="Times New Roman" w:cs="Times New Roman"/>
                <w:sz w:val="22"/>
                <w:szCs w:val="22"/>
                <w:lang w:eastAsia="en-US"/>
              </w:rPr>
              <w:t>Proponowana zmiana:</w:t>
            </w:r>
          </w:p>
          <w:p w14:paraId="596F9F1C" w14:textId="77777777" w:rsidR="00F73818" w:rsidRPr="00F73818" w:rsidRDefault="00F73818" w:rsidP="00F73818">
            <w:pPr>
              <w:spacing w:before="0" w:after="0" w:line="240" w:lineRule="auto"/>
              <w:jc w:val="both"/>
              <w:rPr>
                <w:rFonts w:ascii="Times New Roman" w:eastAsiaTheme="minorHAnsi" w:hAnsi="Times New Roman" w:cs="Times New Roman"/>
                <w:sz w:val="22"/>
                <w:szCs w:val="22"/>
                <w:lang w:eastAsia="en-US"/>
              </w:rPr>
            </w:pPr>
            <w:r w:rsidRPr="00F73818">
              <w:rPr>
                <w:rFonts w:ascii="Times New Roman" w:eastAsiaTheme="minorHAnsi" w:hAnsi="Times New Roman" w:cs="Times New Roman"/>
                <w:sz w:val="22"/>
                <w:szCs w:val="22"/>
                <w:lang w:eastAsia="en-US"/>
              </w:rPr>
              <w:t>„2. W przypadku gdy prawidłowe wykonywanie zadań publicznych wymaga ograniczenia korzystania z informacji sektora publicznego przez innych użytkowników, a celu tego nie da się osiągnąć innymi sposobami, podmiot zobowiązany zawiera z użytkownikiem umowę o udzielenie wyłącznego prawa do korzystania z tej informacji”.</w:t>
            </w:r>
          </w:p>
          <w:p w14:paraId="2A37D109" w14:textId="77777777" w:rsidR="00F73818" w:rsidRPr="00F73818" w:rsidRDefault="00F73818" w:rsidP="00F73818">
            <w:pPr>
              <w:spacing w:before="0" w:after="0" w:line="240" w:lineRule="auto"/>
              <w:jc w:val="both"/>
              <w:rPr>
                <w:rFonts w:ascii="Times New Roman" w:eastAsiaTheme="minorHAnsi" w:hAnsi="Times New Roman" w:cs="Times New Roman"/>
                <w:sz w:val="22"/>
                <w:szCs w:val="22"/>
                <w:lang w:eastAsia="en-US"/>
              </w:rPr>
            </w:pPr>
            <w:r w:rsidRPr="00F73818">
              <w:rPr>
                <w:rFonts w:ascii="Times New Roman" w:eastAsiaTheme="minorHAnsi" w:hAnsi="Times New Roman" w:cs="Times New Roman"/>
                <w:sz w:val="22"/>
                <w:szCs w:val="22"/>
                <w:lang w:eastAsia="en-US"/>
              </w:rPr>
              <w:lastRenderedPageBreak/>
              <w:t>Uzasadnienie:</w:t>
            </w:r>
          </w:p>
          <w:p w14:paraId="3A5B1445" w14:textId="77777777" w:rsidR="008A3702" w:rsidRPr="00E35D35" w:rsidRDefault="00F73818" w:rsidP="00F73818">
            <w:pPr>
              <w:spacing w:before="0" w:after="0" w:line="240" w:lineRule="auto"/>
              <w:jc w:val="both"/>
              <w:rPr>
                <w:rFonts w:ascii="Times New Roman" w:eastAsiaTheme="minorHAnsi" w:hAnsi="Times New Roman" w:cs="Times New Roman"/>
                <w:sz w:val="22"/>
                <w:szCs w:val="22"/>
                <w:lang w:eastAsia="en-US"/>
              </w:rPr>
            </w:pPr>
            <w:r w:rsidRPr="00F73818">
              <w:rPr>
                <w:rFonts w:ascii="Times New Roman" w:eastAsiaTheme="minorHAnsi" w:hAnsi="Times New Roman" w:cs="Times New Roman"/>
                <w:sz w:val="22"/>
                <w:szCs w:val="22"/>
                <w:lang w:eastAsia="en-US"/>
              </w:rPr>
              <w:t>Wszelkie ograniczenia prawa do korzystania z informacji od ogólnej zasady dostępności danych powinny dotyczyć jedynie sytuacji szczególnych, w których prawidłowa realizacja celu nie może zostać osiągnięta innymi sposobami. W takim przypadku zawarcie umowy powinno być obligatoryjne.</w:t>
            </w:r>
          </w:p>
        </w:tc>
        <w:tc>
          <w:tcPr>
            <w:tcW w:w="4785" w:type="dxa"/>
            <w:shd w:val="clear" w:color="auto" w:fill="auto"/>
          </w:tcPr>
          <w:p w14:paraId="53257847" w14:textId="77777777" w:rsidR="009B3E2E" w:rsidRPr="009B3E2E" w:rsidRDefault="009B3E2E" w:rsidP="009B3E2E">
            <w:pPr>
              <w:spacing w:before="0" w:after="0" w:line="240" w:lineRule="auto"/>
              <w:rPr>
                <w:rFonts w:ascii="Times New Roman" w:eastAsiaTheme="minorHAnsi" w:hAnsi="Times New Roman" w:cs="Times New Roman"/>
                <w:b/>
                <w:sz w:val="22"/>
                <w:szCs w:val="22"/>
                <w:lang w:eastAsia="en-US"/>
              </w:rPr>
            </w:pPr>
            <w:r w:rsidRPr="009B3E2E">
              <w:rPr>
                <w:rFonts w:ascii="Times New Roman" w:eastAsiaTheme="minorHAnsi" w:hAnsi="Times New Roman" w:cs="Times New Roman"/>
                <w:b/>
                <w:sz w:val="22"/>
                <w:szCs w:val="22"/>
                <w:lang w:eastAsia="en-US"/>
              </w:rPr>
              <w:lastRenderedPageBreak/>
              <w:t>Uwaga nieuwzględniona</w:t>
            </w:r>
          </w:p>
          <w:p w14:paraId="5F841422" w14:textId="77777777" w:rsidR="009B3E2E" w:rsidRPr="009B3E2E" w:rsidRDefault="009B3E2E" w:rsidP="009B3E2E">
            <w:pPr>
              <w:spacing w:before="0" w:after="0" w:line="240" w:lineRule="auto"/>
              <w:jc w:val="both"/>
              <w:rPr>
                <w:rFonts w:ascii="Times New Roman" w:eastAsiaTheme="minorHAnsi" w:hAnsi="Times New Roman" w:cs="Times New Roman"/>
                <w:sz w:val="22"/>
                <w:szCs w:val="22"/>
                <w:lang w:eastAsia="en-US"/>
              </w:rPr>
            </w:pPr>
            <w:r w:rsidRPr="009B3E2E">
              <w:rPr>
                <w:rFonts w:ascii="Times New Roman" w:eastAsiaTheme="minorHAnsi" w:hAnsi="Times New Roman" w:cs="Times New Roman"/>
                <w:sz w:val="22"/>
                <w:szCs w:val="22"/>
                <w:lang w:eastAsia="en-US"/>
              </w:rPr>
              <w:t>Projekt ustawy formułuje w art. 9 projektu ustawy zasadę niewyłączności, zgodnie z którą podmiot zobowiązany ma generalny zakaz zawierania umów o udzielenie wyłącznego prawa do korzystania z ISP.</w:t>
            </w:r>
          </w:p>
          <w:p w14:paraId="69053C1C" w14:textId="77777777" w:rsidR="009B3E2E" w:rsidRPr="009B3E2E" w:rsidRDefault="009B3E2E" w:rsidP="009B3E2E">
            <w:pPr>
              <w:spacing w:before="0" w:after="0" w:line="240" w:lineRule="auto"/>
              <w:jc w:val="both"/>
              <w:rPr>
                <w:rFonts w:ascii="Times New Roman" w:eastAsiaTheme="minorHAnsi" w:hAnsi="Times New Roman" w:cs="Times New Roman"/>
                <w:sz w:val="22"/>
                <w:szCs w:val="22"/>
                <w:lang w:eastAsia="en-US"/>
              </w:rPr>
            </w:pPr>
            <w:r w:rsidRPr="009B3E2E">
              <w:rPr>
                <w:rFonts w:ascii="Times New Roman" w:eastAsiaTheme="minorHAnsi" w:hAnsi="Times New Roman" w:cs="Times New Roman"/>
                <w:sz w:val="22"/>
                <w:szCs w:val="22"/>
                <w:lang w:eastAsia="en-US"/>
              </w:rPr>
              <w:t xml:space="preserve">Zawarcie umowy o udzielenie wyłącznego prawa do korzystania z ISP jest dopuszczalne jedynie </w:t>
            </w:r>
            <w:r w:rsidRPr="009B3E2E">
              <w:rPr>
                <w:rFonts w:ascii="Times New Roman" w:eastAsiaTheme="minorHAnsi" w:hAnsi="Times New Roman" w:cs="Times New Roman"/>
                <w:sz w:val="22"/>
                <w:szCs w:val="22"/>
                <w:lang w:eastAsia="en-US"/>
              </w:rPr>
              <w:lastRenderedPageBreak/>
              <w:t xml:space="preserve">wyjątkowo, w sytuacji gdy jest to niezbędne do prawidłowego wykonywania zadań publicznych (art. 9 ust. 2 projektu ustawy). </w:t>
            </w:r>
          </w:p>
          <w:p w14:paraId="08DFDD42" w14:textId="77777777" w:rsidR="009B3E2E" w:rsidRPr="009B3E2E" w:rsidRDefault="009B3E2E" w:rsidP="009B3E2E">
            <w:pPr>
              <w:spacing w:before="0" w:after="0" w:line="240" w:lineRule="auto"/>
              <w:jc w:val="both"/>
              <w:rPr>
                <w:rFonts w:ascii="Times New Roman" w:eastAsiaTheme="minorHAnsi" w:hAnsi="Times New Roman" w:cs="Times New Roman"/>
                <w:sz w:val="22"/>
                <w:szCs w:val="22"/>
                <w:lang w:eastAsia="en-US"/>
              </w:rPr>
            </w:pPr>
            <w:r w:rsidRPr="009B3E2E">
              <w:rPr>
                <w:rFonts w:ascii="Times New Roman" w:eastAsiaTheme="minorHAnsi" w:hAnsi="Times New Roman" w:cs="Times New Roman"/>
                <w:sz w:val="22"/>
                <w:szCs w:val="22"/>
                <w:lang w:eastAsia="en-US"/>
              </w:rPr>
              <w:t xml:space="preserve">Art. 9 ust 2 projektu ustawy implementuje art. 12 ust. 2 dyrektywy 2019/1024/UE. W motywie 48 dyrektywy 2019/1024/UE podkreślono, że określając zasady ponownego wykorzystywania dokumentów, organy sektora publicznego powinny zapewnić ich zgodność z  unijnymi  i  krajowymi regułami konkurencji, w  możliwie najszerszym stopniu unikając zawierania umów o wyłączności z  partnerami prywatnymi. </w:t>
            </w:r>
          </w:p>
          <w:p w14:paraId="0F37F3B6" w14:textId="77777777" w:rsidR="008A3702" w:rsidRPr="00E35D35" w:rsidRDefault="009B3E2E" w:rsidP="009B3E2E">
            <w:pPr>
              <w:spacing w:before="0" w:after="0" w:line="240" w:lineRule="auto"/>
              <w:rPr>
                <w:rFonts w:ascii="Times New Roman" w:eastAsiaTheme="minorHAnsi" w:hAnsi="Times New Roman" w:cs="Times New Roman"/>
                <w:sz w:val="22"/>
                <w:szCs w:val="22"/>
                <w:lang w:eastAsia="en-US"/>
              </w:rPr>
            </w:pPr>
            <w:r w:rsidRPr="009B3E2E">
              <w:rPr>
                <w:rFonts w:ascii="Times New Roman" w:eastAsiaTheme="minorHAnsi" w:hAnsi="Times New Roman" w:cs="Times New Roman"/>
                <w:sz w:val="22"/>
                <w:szCs w:val="22"/>
                <w:lang w:eastAsia="en-US"/>
              </w:rPr>
              <w:t>Mając na uwadze powyższe umowy o udzielenie wyłącznego prawa do korzystania z ISP powinny być zawierane tylko w wyjątkowych sytuacjach, a podmiot zobowiązany powinien mieć możliwość, a nie obowiązek zawarcia takiej umowy.  Należy dążyć do maksymalnego ograniczenia stosowana tego rodzaju umów.</w:t>
            </w:r>
          </w:p>
        </w:tc>
      </w:tr>
      <w:tr w:rsidR="008A3702" w:rsidRPr="00E35D35" w14:paraId="590FFB2C" w14:textId="77777777" w:rsidTr="00F73818">
        <w:tc>
          <w:tcPr>
            <w:tcW w:w="676" w:type="dxa"/>
            <w:shd w:val="clear" w:color="auto" w:fill="auto"/>
          </w:tcPr>
          <w:p w14:paraId="78A5B9D9"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8D7C221" w14:textId="77777777" w:rsidR="008A3702" w:rsidRPr="008841C5" w:rsidRDefault="003D5BFD" w:rsidP="008A3702">
            <w:pPr>
              <w:spacing w:before="0" w:after="0" w:line="240" w:lineRule="auto"/>
              <w:rPr>
                <w:rFonts w:ascii="Times New Roman" w:eastAsiaTheme="minorHAnsi" w:hAnsi="Times New Roman" w:cs="Times New Roman"/>
                <w:sz w:val="22"/>
                <w:szCs w:val="22"/>
                <w:lang w:eastAsia="en-US"/>
              </w:rPr>
            </w:pPr>
            <w:r w:rsidRPr="008841C5">
              <w:rPr>
                <w:rFonts w:ascii="Times New Roman" w:eastAsiaTheme="minorHAnsi" w:hAnsi="Times New Roman" w:cs="Times New Roman"/>
                <w:sz w:val="22"/>
                <w:szCs w:val="22"/>
                <w:lang w:eastAsia="en-US"/>
              </w:rPr>
              <w:t>Urząd Ochrony Danych Osobowych</w:t>
            </w:r>
          </w:p>
        </w:tc>
        <w:tc>
          <w:tcPr>
            <w:tcW w:w="1526" w:type="dxa"/>
            <w:shd w:val="clear" w:color="auto" w:fill="auto"/>
          </w:tcPr>
          <w:p w14:paraId="583F2F0C" w14:textId="77777777" w:rsidR="008A3702" w:rsidRPr="008841C5" w:rsidRDefault="003D5BFD" w:rsidP="008A3702">
            <w:pPr>
              <w:spacing w:before="0" w:after="0" w:line="240" w:lineRule="auto"/>
              <w:rPr>
                <w:rFonts w:ascii="Times New Roman" w:eastAsiaTheme="minorHAnsi" w:hAnsi="Times New Roman" w:cs="Times New Roman"/>
                <w:sz w:val="22"/>
                <w:szCs w:val="22"/>
                <w:lang w:eastAsia="en-US"/>
              </w:rPr>
            </w:pPr>
            <w:r w:rsidRPr="008841C5">
              <w:rPr>
                <w:rFonts w:ascii="Times New Roman" w:eastAsiaTheme="minorHAnsi" w:hAnsi="Times New Roman" w:cs="Times New Roman"/>
                <w:sz w:val="22"/>
                <w:szCs w:val="22"/>
                <w:lang w:eastAsia="en-US"/>
              </w:rPr>
              <w:t>Art. 10</w:t>
            </w:r>
          </w:p>
        </w:tc>
        <w:tc>
          <w:tcPr>
            <w:tcW w:w="5323" w:type="dxa"/>
            <w:shd w:val="clear" w:color="auto" w:fill="auto"/>
          </w:tcPr>
          <w:p w14:paraId="0AFCCF02" w14:textId="77777777" w:rsidR="003D5BFD" w:rsidRPr="008841C5" w:rsidRDefault="003D5BFD" w:rsidP="003D5BFD">
            <w:pPr>
              <w:autoSpaceDE w:val="0"/>
              <w:autoSpaceDN w:val="0"/>
              <w:adjustRightInd w:val="0"/>
              <w:spacing w:before="0" w:after="0" w:line="240" w:lineRule="auto"/>
              <w:jc w:val="both"/>
              <w:rPr>
                <w:rFonts w:ascii="Times New Roman" w:eastAsiaTheme="minorHAnsi" w:hAnsi="Times New Roman" w:cs="Times New Roman"/>
                <w:i/>
                <w:iCs/>
                <w:sz w:val="22"/>
                <w:szCs w:val="22"/>
                <w:lang w:eastAsia="en-US"/>
              </w:rPr>
            </w:pPr>
            <w:r w:rsidRPr="008841C5">
              <w:rPr>
                <w:rFonts w:ascii="Times New Roman" w:eastAsiaTheme="minorHAnsi" w:hAnsi="Times New Roman" w:cs="Times New Roman"/>
                <w:sz w:val="22"/>
                <w:szCs w:val="22"/>
                <w:lang w:eastAsia="en-US"/>
              </w:rPr>
              <w:t xml:space="preserve">W </w:t>
            </w:r>
            <w:r w:rsidRPr="008841C5">
              <w:rPr>
                <w:rFonts w:ascii="Times New Roman" w:eastAsiaTheme="minorHAnsi" w:hAnsi="Times New Roman" w:cs="Times New Roman"/>
                <w:b/>
                <w:bCs/>
                <w:sz w:val="22"/>
                <w:szCs w:val="22"/>
                <w:lang w:eastAsia="en-US"/>
              </w:rPr>
              <w:t xml:space="preserve">art. 10 projektu </w:t>
            </w:r>
            <w:r w:rsidRPr="008841C5">
              <w:rPr>
                <w:rFonts w:ascii="Times New Roman" w:eastAsiaTheme="minorHAnsi" w:hAnsi="Times New Roman" w:cs="Times New Roman"/>
                <w:sz w:val="22"/>
                <w:szCs w:val="22"/>
                <w:lang w:eastAsia="en-US"/>
              </w:rPr>
              <w:t xml:space="preserve">Projektodawca określa, </w:t>
            </w:r>
            <w:r w:rsidRPr="008841C5">
              <w:rPr>
                <w:rFonts w:ascii="Times New Roman" w:eastAsiaTheme="minorHAnsi" w:hAnsi="Times New Roman" w:cs="Times New Roman"/>
                <w:i/>
                <w:iCs/>
                <w:sz w:val="22"/>
                <w:szCs w:val="22"/>
                <w:lang w:eastAsia="en-US"/>
              </w:rPr>
              <w:t>obowiązki podmiotów zobowiązanych, które udostępniają lub przekazują informacje sektora publicznego w celu ponownego wykorzystywania z użyciem systemów teleinformattyak ycznych.</w:t>
            </w:r>
          </w:p>
          <w:p w14:paraId="1F9E2591" w14:textId="77777777" w:rsidR="003D5BFD" w:rsidRPr="008841C5" w:rsidRDefault="003D5BFD" w:rsidP="003D5BFD">
            <w:pPr>
              <w:autoSpaceDE w:val="0"/>
              <w:autoSpaceDN w:val="0"/>
              <w:adjustRightInd w:val="0"/>
              <w:spacing w:before="0" w:after="0" w:line="240" w:lineRule="auto"/>
              <w:jc w:val="both"/>
              <w:rPr>
                <w:rFonts w:ascii="Times New Roman" w:eastAsiaTheme="minorHAnsi" w:hAnsi="Times New Roman" w:cs="Times New Roman"/>
                <w:sz w:val="22"/>
                <w:szCs w:val="22"/>
                <w:lang w:eastAsia="en-US"/>
              </w:rPr>
            </w:pPr>
            <w:r w:rsidRPr="008841C5">
              <w:rPr>
                <w:rFonts w:ascii="Times New Roman" w:eastAsiaTheme="minorHAnsi" w:hAnsi="Times New Roman" w:cs="Times New Roman"/>
                <w:sz w:val="22"/>
                <w:szCs w:val="22"/>
                <w:lang w:eastAsia="en-US"/>
              </w:rPr>
              <w:t xml:space="preserve">W przypadku jeżeli przekazywane z użyciem systemów teleinformatycznych informacje sektora publicznego będą odnosić się do danych badawczych w rozumieniu art. 2 pkt 2 projektu, danych prywatnych w rozumieniu art. 2 pkt 5 lub danych przekazywanych przez sektor zdrowia istnieje ryzyko, że może dojść do przetwarzania danych szczególnych kategorii, wymienionych w art. 9 RODO (m.in. dane osobowe dotyczące zdrowia, ujawniając poglądy polityczne, przekonania religijne lub światopoglądowe). Dane te poddane są szczególnemu reżimowi przetwarzania, co oznacza, że powinny być </w:t>
            </w:r>
            <w:r w:rsidRPr="008841C5">
              <w:rPr>
                <w:rFonts w:ascii="Times New Roman" w:eastAsiaTheme="minorHAnsi" w:hAnsi="Times New Roman" w:cs="Times New Roman"/>
                <w:sz w:val="22"/>
                <w:szCs w:val="22"/>
                <w:lang w:eastAsia="en-US"/>
              </w:rPr>
              <w:lastRenderedPageBreak/>
              <w:t>chronione w sposób szczególny, w odróżnieniu od pozostałych kategorii danych tzw. zwykłych i mogą być przetwarzane jedynie przy spełnieniu warunków określonych w art. 9 ust. 2 RODO.</w:t>
            </w:r>
          </w:p>
          <w:p w14:paraId="1113FB1A" w14:textId="77777777" w:rsidR="003D5BFD" w:rsidRPr="008841C5" w:rsidRDefault="003D5BFD" w:rsidP="003D5BFD">
            <w:pPr>
              <w:autoSpaceDE w:val="0"/>
              <w:autoSpaceDN w:val="0"/>
              <w:adjustRightInd w:val="0"/>
              <w:spacing w:before="0" w:after="0" w:line="240" w:lineRule="auto"/>
              <w:jc w:val="both"/>
              <w:rPr>
                <w:rFonts w:ascii="Times New Roman" w:eastAsiaTheme="minorHAnsi" w:hAnsi="Times New Roman" w:cs="Times New Roman"/>
                <w:sz w:val="22"/>
                <w:szCs w:val="22"/>
                <w:lang w:eastAsia="en-US"/>
              </w:rPr>
            </w:pPr>
            <w:r w:rsidRPr="008841C5">
              <w:rPr>
                <w:rFonts w:ascii="Times New Roman" w:eastAsiaTheme="minorHAnsi" w:hAnsi="Times New Roman" w:cs="Times New Roman"/>
                <w:sz w:val="22"/>
                <w:szCs w:val="22"/>
                <w:lang w:eastAsia="en-US"/>
              </w:rPr>
              <w:t xml:space="preserve">Organ nadzorczy zauważa, że motyw 53 dyrektywy 2019/1024/UE postuluje by </w:t>
            </w:r>
            <w:r w:rsidRPr="008841C5">
              <w:rPr>
                <w:rFonts w:ascii="Times New Roman" w:eastAsiaTheme="minorHAnsi" w:hAnsi="Times New Roman" w:cs="Times New Roman"/>
                <w:i/>
                <w:iCs/>
                <w:sz w:val="22"/>
                <w:szCs w:val="22"/>
                <w:lang w:eastAsia="en-US"/>
              </w:rPr>
              <w:t>przy podejmowaniu decyzji w sprawie zakresu i warunków ponownego wykorzystywania dokumentów sektora publicznego zawierających danych osobowe, na przykład w sektorze zdrowia, wymagane może być przeprowadzenie oceny skutków dla ochrony danych zgodnie z art. 35 RODO</w:t>
            </w:r>
            <w:r w:rsidRPr="008841C5">
              <w:rPr>
                <w:rFonts w:ascii="Times New Roman" w:eastAsiaTheme="minorHAnsi" w:hAnsi="Times New Roman" w:cs="Times New Roman"/>
                <w:sz w:val="22"/>
                <w:szCs w:val="22"/>
                <w:lang w:eastAsia="en-US"/>
              </w:rPr>
              <w:t>. Zgodnie z ww. przepisem RODO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w:t>
            </w:r>
          </w:p>
          <w:p w14:paraId="4694DC9A" w14:textId="77777777" w:rsidR="003D5BFD" w:rsidRPr="00C9140D" w:rsidRDefault="003D5BFD" w:rsidP="003D5BFD">
            <w:pPr>
              <w:autoSpaceDE w:val="0"/>
              <w:autoSpaceDN w:val="0"/>
              <w:adjustRightInd w:val="0"/>
              <w:spacing w:before="0" w:after="0" w:line="240" w:lineRule="auto"/>
              <w:jc w:val="both"/>
              <w:rPr>
                <w:rFonts w:ascii="Times New Roman" w:eastAsiaTheme="minorHAnsi" w:hAnsi="Times New Roman" w:cs="Times New Roman"/>
                <w:bCs/>
                <w:sz w:val="22"/>
                <w:szCs w:val="22"/>
                <w:lang w:eastAsia="en-US"/>
              </w:rPr>
            </w:pPr>
            <w:r w:rsidRPr="00C9140D">
              <w:rPr>
                <w:rFonts w:ascii="Times New Roman" w:eastAsiaTheme="minorHAnsi" w:hAnsi="Times New Roman" w:cs="Times New Roman"/>
                <w:bCs/>
                <w:sz w:val="22"/>
                <w:szCs w:val="22"/>
                <w:lang w:eastAsia="en-US"/>
              </w:rPr>
              <w:t>W opinii Prezesa Urzędu Ochrony Danych Osobowych rekomendowanym rozwiązaniem jest określenie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przypadku przetwarzania danych badawczych w rozumieniu art. 2 pkt 2 projektu, danych prywatnych w rozumieniu art. 2 pkt 5 projektu i danych przekazywanych przez sektor zdrowia.</w:t>
            </w:r>
          </w:p>
          <w:p w14:paraId="57DFD6B6" w14:textId="10F50716" w:rsidR="008A3702" w:rsidRPr="008841C5" w:rsidRDefault="003D5BFD" w:rsidP="00C9140D">
            <w:pPr>
              <w:spacing w:before="0" w:after="0" w:line="240" w:lineRule="auto"/>
              <w:jc w:val="both"/>
              <w:rPr>
                <w:rFonts w:ascii="Times New Roman" w:eastAsiaTheme="minorHAnsi" w:hAnsi="Times New Roman" w:cs="Times New Roman"/>
                <w:sz w:val="22"/>
                <w:szCs w:val="22"/>
                <w:lang w:eastAsia="en-US"/>
              </w:rPr>
            </w:pPr>
            <w:r w:rsidRPr="00C9140D">
              <w:rPr>
                <w:rFonts w:ascii="Times New Roman" w:eastAsiaTheme="minorHAnsi" w:hAnsi="Times New Roman" w:cs="Times New Roman"/>
                <w:bCs/>
                <w:sz w:val="22"/>
                <w:szCs w:val="22"/>
                <w:lang w:eastAsia="en-US"/>
              </w:rPr>
              <w:t>Takie rozwiązanie realizowałoby założenia dyrektywy 2019/1024/UE, jak równi</w:t>
            </w:r>
            <w:r w:rsidR="00C9140D">
              <w:rPr>
                <w:rFonts w:ascii="Times New Roman" w:eastAsiaTheme="minorHAnsi" w:hAnsi="Times New Roman" w:cs="Times New Roman"/>
                <w:bCs/>
                <w:sz w:val="22"/>
                <w:szCs w:val="22"/>
                <w:lang w:eastAsia="en-US"/>
              </w:rPr>
              <w:t>eż spełniało zasady poufności i </w:t>
            </w:r>
            <w:r w:rsidRPr="00C9140D">
              <w:rPr>
                <w:rFonts w:ascii="Times New Roman" w:eastAsiaTheme="minorHAnsi" w:hAnsi="Times New Roman" w:cs="Times New Roman"/>
                <w:bCs/>
                <w:sz w:val="22"/>
                <w:szCs w:val="22"/>
                <w:lang w:eastAsia="en-US"/>
              </w:rPr>
              <w:t xml:space="preserve">integralności danych osobowych wynikające z art 5 ust. </w:t>
            </w:r>
            <w:r w:rsidRPr="00C9140D">
              <w:rPr>
                <w:rFonts w:ascii="Times New Roman" w:eastAsiaTheme="minorHAnsi" w:hAnsi="Times New Roman" w:cs="Times New Roman"/>
                <w:bCs/>
                <w:sz w:val="22"/>
                <w:szCs w:val="22"/>
                <w:lang w:eastAsia="en-US"/>
              </w:rPr>
              <w:lastRenderedPageBreak/>
              <w:t>1 lit. f RODO oraz zminimalizowało by ryzyko ujawnienia szczególnych kategorii</w:t>
            </w:r>
            <w:r w:rsidR="00C9140D">
              <w:rPr>
                <w:rFonts w:ascii="Times New Roman" w:eastAsiaTheme="minorHAnsi" w:hAnsi="Times New Roman" w:cs="Times New Roman"/>
                <w:bCs/>
                <w:sz w:val="22"/>
                <w:szCs w:val="22"/>
                <w:lang w:eastAsia="en-US"/>
              </w:rPr>
              <w:t xml:space="preserve"> danych osobowych określonych w </w:t>
            </w:r>
            <w:r w:rsidRPr="00C9140D">
              <w:rPr>
                <w:rFonts w:ascii="Times New Roman" w:eastAsiaTheme="minorHAnsi" w:hAnsi="Times New Roman" w:cs="Times New Roman"/>
                <w:bCs/>
                <w:sz w:val="22"/>
                <w:szCs w:val="22"/>
                <w:lang w:eastAsia="en-US"/>
              </w:rPr>
              <w:t>art. 9 RODO.</w:t>
            </w:r>
          </w:p>
        </w:tc>
        <w:tc>
          <w:tcPr>
            <w:tcW w:w="4785" w:type="dxa"/>
            <w:shd w:val="clear" w:color="auto" w:fill="auto"/>
          </w:tcPr>
          <w:p w14:paraId="1ED0F162" w14:textId="77777777" w:rsidR="008841C5" w:rsidRPr="008841C5" w:rsidRDefault="008841C5" w:rsidP="008841C5">
            <w:pPr>
              <w:spacing w:before="0" w:after="0" w:line="240" w:lineRule="auto"/>
              <w:jc w:val="both"/>
              <w:rPr>
                <w:rFonts w:ascii="Times New Roman" w:eastAsiaTheme="minorHAnsi" w:hAnsi="Times New Roman" w:cs="Times New Roman"/>
                <w:b/>
                <w:sz w:val="22"/>
                <w:szCs w:val="22"/>
                <w:lang w:eastAsia="en-US"/>
              </w:rPr>
            </w:pPr>
            <w:r w:rsidRPr="008841C5">
              <w:rPr>
                <w:rFonts w:ascii="Times New Roman" w:eastAsiaTheme="minorHAnsi" w:hAnsi="Times New Roman" w:cs="Times New Roman"/>
                <w:b/>
                <w:sz w:val="22"/>
                <w:szCs w:val="22"/>
                <w:lang w:eastAsia="en-US"/>
              </w:rPr>
              <w:lastRenderedPageBreak/>
              <w:t>Uwaga nieuwzględniona</w:t>
            </w:r>
          </w:p>
          <w:p w14:paraId="413CEAFE" w14:textId="2617E211" w:rsidR="008A3702" w:rsidRPr="003D5BFD" w:rsidRDefault="008841C5" w:rsidP="008841C5">
            <w:pPr>
              <w:spacing w:before="0" w:after="0" w:line="240" w:lineRule="auto"/>
              <w:jc w:val="both"/>
              <w:rPr>
                <w:rFonts w:ascii="Times New Roman" w:eastAsiaTheme="minorHAnsi" w:hAnsi="Times New Roman" w:cs="Times New Roman"/>
                <w:sz w:val="22"/>
                <w:szCs w:val="22"/>
                <w:highlight w:val="yellow"/>
                <w:lang w:eastAsia="en-US"/>
              </w:rPr>
            </w:pPr>
            <w:r w:rsidRPr="008841C5">
              <w:rPr>
                <w:rFonts w:ascii="Times New Roman" w:eastAsiaTheme="minorHAnsi" w:hAnsi="Times New Roman" w:cs="Times New Roman"/>
                <w:sz w:val="22"/>
                <w:szCs w:val="22"/>
                <w:lang w:eastAsia="en-US"/>
              </w:rPr>
              <w:t xml:space="preserve">Zdaniem projektodawcy nie ma potrzeby  określenia w projektowanym przepisie - wśród obowiązków podmiotów zobowiązanych, które udostępniają lub przekazują informacje sektora publicznego zawierające dane osobowe (w celu ponownego wykorzystywania z użyciem systemów teleinformatycznych) - obligatoryjnego dokonywania oceny skutków dla ochrony danych zgodnie z art. 35 RODO w przypadku przetwarzania danych badawczych w rozumieniu art. 2 pkt 2 projektu, danych prywatnych w rozumieniu art. 2 pkt 5 projektu i danych przekazywanych przez sektor zdrowia. Obowiązek ten, jak i pozostałe obowiązki administratora oraz uprawnienia osób, których dane dotyczą wynika wprost z przepisów </w:t>
            </w:r>
            <w:r w:rsidRPr="008841C5">
              <w:rPr>
                <w:rFonts w:ascii="Times New Roman" w:eastAsiaTheme="minorHAnsi" w:hAnsi="Times New Roman" w:cs="Times New Roman"/>
                <w:sz w:val="22"/>
                <w:szCs w:val="22"/>
                <w:lang w:eastAsia="en-US"/>
              </w:rPr>
              <w:lastRenderedPageBreak/>
              <w:t>RODO. Powtarzanie przedmiotowych norm byłoby nadregulacją i pozostawało w </w:t>
            </w:r>
            <w:r>
              <w:rPr>
                <w:rFonts w:ascii="Times New Roman" w:eastAsiaTheme="minorHAnsi" w:hAnsi="Times New Roman" w:cs="Times New Roman"/>
                <w:sz w:val="22"/>
                <w:szCs w:val="22"/>
                <w:lang w:eastAsia="en-US"/>
              </w:rPr>
              <w:t>sprzeczności z </w:t>
            </w:r>
            <w:r w:rsidRPr="008841C5">
              <w:rPr>
                <w:rFonts w:ascii="Times New Roman" w:eastAsiaTheme="minorHAnsi" w:hAnsi="Times New Roman" w:cs="Times New Roman"/>
                <w:sz w:val="22"/>
                <w:szCs w:val="22"/>
                <w:lang w:eastAsia="en-US"/>
              </w:rPr>
              <w:t>Zasadami techniki prawodawczej.</w:t>
            </w:r>
          </w:p>
        </w:tc>
      </w:tr>
      <w:tr w:rsidR="008A3702" w:rsidRPr="00E35D35" w14:paraId="32AD6377" w14:textId="77777777" w:rsidTr="00F73818">
        <w:tc>
          <w:tcPr>
            <w:tcW w:w="676" w:type="dxa"/>
            <w:shd w:val="clear" w:color="auto" w:fill="auto"/>
          </w:tcPr>
          <w:p w14:paraId="5523AC36"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54927CAA" w14:textId="77777777" w:rsidR="008A3702" w:rsidRPr="00E35D35" w:rsidRDefault="00034AE3" w:rsidP="008A3702">
            <w:pPr>
              <w:spacing w:before="0" w:after="0" w:line="240" w:lineRule="auto"/>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12C578ED" w14:textId="77777777" w:rsidR="008A3702" w:rsidRPr="00E35D35" w:rsidRDefault="00034AE3" w:rsidP="00034AE3">
            <w:pPr>
              <w:spacing w:before="0" w:after="0" w:line="240" w:lineRule="auto"/>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Art. 10 ust. 3</w:t>
            </w:r>
          </w:p>
        </w:tc>
        <w:tc>
          <w:tcPr>
            <w:tcW w:w="5323" w:type="dxa"/>
            <w:shd w:val="clear" w:color="auto" w:fill="auto"/>
          </w:tcPr>
          <w:p w14:paraId="3CBCD68B"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Proponowana zmiana:</w:t>
            </w:r>
          </w:p>
          <w:p w14:paraId="337F600C"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„3. Podmioty zobowiązane nie są obowiązane do tworzenia informacji sektora publicznego, ich przetwarzania w sposób lub w formie wskazanych we wniosku o ponowne wykorzystywanie oraz sporządzania z nich wyciągów, jeżeli spowoduje to konieczność podjęcia nieproporcjonalnych działań”.</w:t>
            </w:r>
          </w:p>
          <w:p w14:paraId="38948620"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Uzasadnienie:</w:t>
            </w:r>
          </w:p>
          <w:p w14:paraId="34EA4454" w14:textId="77777777" w:rsidR="008A3702" w:rsidRPr="00E35D35"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Sformułowanie „podjęcia nieproporcjonalnych działań przekraczających proste czynności” rozumiane może w ten sposób, że każde czynności, które nie są czynnościami prostymi uznawane są za nieproporcjonalne.</w:t>
            </w:r>
          </w:p>
        </w:tc>
        <w:tc>
          <w:tcPr>
            <w:tcW w:w="4785" w:type="dxa"/>
            <w:shd w:val="clear" w:color="auto" w:fill="auto"/>
          </w:tcPr>
          <w:p w14:paraId="1A4C2807" w14:textId="77777777" w:rsidR="00034AE3" w:rsidRPr="00034AE3" w:rsidRDefault="00034AE3" w:rsidP="00034AE3">
            <w:pPr>
              <w:spacing w:before="0" w:after="0" w:line="240" w:lineRule="auto"/>
              <w:rPr>
                <w:rFonts w:ascii="Times New Roman" w:eastAsiaTheme="minorHAnsi" w:hAnsi="Times New Roman" w:cs="Times New Roman"/>
                <w:b/>
                <w:sz w:val="22"/>
                <w:szCs w:val="22"/>
                <w:lang w:eastAsia="en-US"/>
              </w:rPr>
            </w:pPr>
            <w:r w:rsidRPr="00034AE3">
              <w:rPr>
                <w:rFonts w:ascii="Times New Roman" w:eastAsiaTheme="minorHAnsi" w:hAnsi="Times New Roman" w:cs="Times New Roman"/>
                <w:b/>
                <w:sz w:val="22"/>
                <w:szCs w:val="22"/>
                <w:lang w:eastAsia="en-US"/>
              </w:rPr>
              <w:t>Uwaga nieuwzględniona</w:t>
            </w:r>
          </w:p>
          <w:p w14:paraId="76A86264"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 xml:space="preserve">Art. 10 ust. 3 projektu ustawy implementuje art. 5 ust. 3 dyrektywy 2019/1024/UE, zgodnie z którym organy  sektora publicznego nie są zobowiązane do tworzenia czy  dostosowywania dokumentów (ISP) ani dostarczania wyciągów  w  przypadku gdy  wymagałoby to nieproporcjonalnie dużego wysiłku, wykraczającego poza prostą czynność. </w:t>
            </w:r>
          </w:p>
          <w:p w14:paraId="34D38BF7" w14:textId="77777777" w:rsidR="008A3702" w:rsidRPr="00E35D35"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Należy dodatkowo wskazać, że projektodawca wprowadzi do przepisów ustawy dodatkową procedurę, zgodnie z którą w sytuacji, o której mowa w art. 10 ust. 3, podmiot zobowiązany będzie zobligowany do poinformowania o przyczynach braku możliwości przekazania ISP (w sposób wskazany we wniosku) i wskazania w jaki sposób lub w jakiej formie ISP może zostać przekazana. Wnioskodawca będzie mógł przyjąć ofertę podmiotu zobowiązanego lub ją odrzucić (złożyć sprzeciw). W przypadku złożenia sprzeciwu – zostanie wydana decyzja o odmowie wyrażenia zgody na ponowne wykorzystywanie ISP.</w:t>
            </w:r>
          </w:p>
        </w:tc>
      </w:tr>
      <w:tr w:rsidR="008A3702" w:rsidRPr="008A3702" w14:paraId="6863E95E" w14:textId="77777777" w:rsidTr="00F73818">
        <w:tc>
          <w:tcPr>
            <w:tcW w:w="676" w:type="dxa"/>
            <w:shd w:val="clear" w:color="auto" w:fill="auto"/>
          </w:tcPr>
          <w:p w14:paraId="40CD92D0" w14:textId="77777777" w:rsidR="008A3702" w:rsidRPr="00E35D35" w:rsidRDefault="008A3702"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9861373" w14:textId="77777777" w:rsidR="008A3702" w:rsidRPr="008A3702" w:rsidRDefault="00034AE3" w:rsidP="008A3702">
            <w:pPr>
              <w:spacing w:before="0" w:after="0" w:line="240" w:lineRule="auto"/>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17A4ED1C" w14:textId="77777777" w:rsidR="008A3702" w:rsidRPr="008A3702" w:rsidRDefault="00034AE3" w:rsidP="008A3702">
            <w:pPr>
              <w:spacing w:before="0" w:after="0" w:line="240" w:lineRule="auto"/>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Art. 10 ust. 4</w:t>
            </w:r>
          </w:p>
        </w:tc>
        <w:tc>
          <w:tcPr>
            <w:tcW w:w="5323" w:type="dxa"/>
            <w:shd w:val="clear" w:color="auto" w:fill="auto"/>
          </w:tcPr>
          <w:p w14:paraId="2D2905D8"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Proponowana zmiana:</w:t>
            </w:r>
          </w:p>
          <w:p w14:paraId="19D1EB90"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„4. Podmiot zobowiązany może przekazywać lub udostępniać do ponownego wykorzystywania kod źródłowy prog</w:t>
            </w:r>
            <w:r>
              <w:rPr>
                <w:rFonts w:ascii="Times New Roman" w:eastAsiaTheme="minorHAnsi" w:hAnsi="Times New Roman" w:cs="Times New Roman"/>
                <w:sz w:val="22"/>
                <w:szCs w:val="22"/>
                <w:lang w:eastAsia="en-US"/>
              </w:rPr>
              <w:t>ramu komputerowego opracowany w </w:t>
            </w:r>
            <w:r w:rsidRPr="00034AE3">
              <w:rPr>
                <w:rFonts w:ascii="Times New Roman" w:eastAsiaTheme="minorHAnsi" w:hAnsi="Times New Roman" w:cs="Times New Roman"/>
                <w:sz w:val="22"/>
                <w:szCs w:val="22"/>
                <w:lang w:eastAsia="en-US"/>
              </w:rPr>
              <w:t>ramach realizacji zadań publicznych”.</w:t>
            </w:r>
          </w:p>
          <w:p w14:paraId="2546C0B7" w14:textId="77777777" w:rsidR="00034AE3" w:rsidRPr="00034AE3"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Uzasadnienie:</w:t>
            </w:r>
          </w:p>
          <w:p w14:paraId="265BF84F" w14:textId="77777777" w:rsidR="008A3702" w:rsidRPr="008A3702" w:rsidRDefault="00034AE3" w:rsidP="00034AE3">
            <w:pPr>
              <w:spacing w:before="0" w:after="0" w:line="240" w:lineRule="auto"/>
              <w:jc w:val="both"/>
              <w:rPr>
                <w:rFonts w:ascii="Times New Roman" w:eastAsiaTheme="minorHAnsi" w:hAnsi="Times New Roman" w:cs="Times New Roman"/>
                <w:sz w:val="22"/>
                <w:szCs w:val="22"/>
                <w:lang w:eastAsia="en-US"/>
              </w:rPr>
            </w:pPr>
            <w:r w:rsidRPr="00034AE3">
              <w:rPr>
                <w:rFonts w:ascii="Times New Roman" w:eastAsiaTheme="minorHAnsi" w:hAnsi="Times New Roman" w:cs="Times New Roman"/>
                <w:sz w:val="22"/>
                <w:szCs w:val="22"/>
                <w:lang w:eastAsia="en-US"/>
              </w:rPr>
              <w:t>Zmiany w postaci „przekazać” na „przekazywać” oraz „opracowanego” na „opra</w:t>
            </w:r>
            <w:r w:rsidR="006F001D">
              <w:rPr>
                <w:rFonts w:ascii="Times New Roman" w:eastAsiaTheme="minorHAnsi" w:hAnsi="Times New Roman" w:cs="Times New Roman"/>
                <w:sz w:val="22"/>
                <w:szCs w:val="22"/>
                <w:lang w:eastAsia="en-US"/>
              </w:rPr>
              <w:t>cowany” poprawiają stylistykę i </w:t>
            </w:r>
            <w:r w:rsidRPr="00034AE3">
              <w:rPr>
                <w:rFonts w:ascii="Times New Roman" w:eastAsiaTheme="minorHAnsi" w:hAnsi="Times New Roman" w:cs="Times New Roman"/>
                <w:sz w:val="22"/>
                <w:szCs w:val="22"/>
                <w:lang w:eastAsia="en-US"/>
              </w:rPr>
              <w:t>nie wprowadzają zmian merytorycznych.</w:t>
            </w:r>
          </w:p>
        </w:tc>
        <w:tc>
          <w:tcPr>
            <w:tcW w:w="4785" w:type="dxa"/>
            <w:shd w:val="clear" w:color="auto" w:fill="auto"/>
          </w:tcPr>
          <w:p w14:paraId="3151C1A5" w14:textId="77777777" w:rsidR="006F001D" w:rsidRPr="006F001D" w:rsidRDefault="006F001D" w:rsidP="006F001D">
            <w:pPr>
              <w:spacing w:before="0" w:after="0" w:line="240" w:lineRule="auto"/>
              <w:rPr>
                <w:rFonts w:ascii="Times New Roman" w:eastAsiaTheme="minorHAnsi" w:hAnsi="Times New Roman" w:cs="Times New Roman"/>
                <w:b/>
                <w:sz w:val="22"/>
                <w:szCs w:val="22"/>
                <w:lang w:eastAsia="en-US"/>
              </w:rPr>
            </w:pPr>
            <w:r w:rsidRPr="006F001D">
              <w:rPr>
                <w:rFonts w:ascii="Times New Roman" w:eastAsiaTheme="minorHAnsi" w:hAnsi="Times New Roman" w:cs="Times New Roman"/>
                <w:b/>
                <w:sz w:val="22"/>
                <w:szCs w:val="22"/>
                <w:lang w:eastAsia="en-US"/>
              </w:rPr>
              <w:t>Uwaga nieuwzględniona</w:t>
            </w:r>
          </w:p>
          <w:p w14:paraId="287EB3B4" w14:textId="77777777" w:rsidR="006F001D" w:rsidRPr="006F001D" w:rsidRDefault="006F001D" w:rsidP="006F001D">
            <w:pPr>
              <w:spacing w:before="0" w:after="0" w:line="240" w:lineRule="auto"/>
              <w:jc w:val="both"/>
              <w:rPr>
                <w:rFonts w:ascii="Times New Roman" w:eastAsiaTheme="minorHAnsi" w:hAnsi="Times New Roman" w:cs="Times New Roman"/>
                <w:sz w:val="22"/>
                <w:szCs w:val="22"/>
                <w:lang w:eastAsia="en-US"/>
              </w:rPr>
            </w:pPr>
            <w:r w:rsidRPr="006F001D">
              <w:rPr>
                <w:rFonts w:ascii="Times New Roman" w:eastAsiaTheme="minorHAnsi" w:hAnsi="Times New Roman" w:cs="Times New Roman"/>
                <w:sz w:val="22"/>
                <w:szCs w:val="22"/>
                <w:lang w:eastAsia="en-US"/>
              </w:rPr>
              <w:t>1. Zmiana słowa „przekazać” na „przekazywać”</w:t>
            </w:r>
          </w:p>
          <w:p w14:paraId="1FC0D549" w14:textId="77777777" w:rsidR="006F001D" w:rsidRPr="006F001D" w:rsidRDefault="006F001D" w:rsidP="006F001D">
            <w:pPr>
              <w:spacing w:before="0" w:after="0" w:line="240" w:lineRule="auto"/>
              <w:jc w:val="both"/>
              <w:rPr>
                <w:rFonts w:ascii="Times New Roman" w:eastAsiaTheme="minorHAnsi" w:hAnsi="Times New Roman" w:cs="Times New Roman"/>
                <w:sz w:val="22"/>
                <w:szCs w:val="22"/>
                <w:lang w:eastAsia="en-US"/>
              </w:rPr>
            </w:pPr>
            <w:r w:rsidRPr="006F001D">
              <w:rPr>
                <w:rFonts w:ascii="Times New Roman" w:eastAsiaTheme="minorHAnsi" w:hAnsi="Times New Roman" w:cs="Times New Roman"/>
                <w:sz w:val="22"/>
                <w:szCs w:val="22"/>
                <w:lang w:eastAsia="en-US"/>
              </w:rPr>
              <w:t xml:space="preserve">Przekazywanie ISP dotyczy trybu wnioskowego – podmiot zobowiązany przekazuje określone ISP na wniosek złożony przez zainteresowanego. Jest to czynność jednorazowa.  W odróżnieniu od trybu pozawnioskowego w ramach którego podmiot zobowiązany udostępnia (permanentnie, cały czas) określone ISP w systemie teleinformatycznym). Jest to w związku z tym udostępnianie, a nie udostępnienie.   </w:t>
            </w:r>
          </w:p>
          <w:p w14:paraId="43C323A4" w14:textId="77777777" w:rsidR="006F001D" w:rsidRPr="006F001D" w:rsidRDefault="006F001D" w:rsidP="006F001D">
            <w:pPr>
              <w:spacing w:before="0" w:after="0" w:line="240" w:lineRule="auto"/>
              <w:jc w:val="both"/>
              <w:rPr>
                <w:rFonts w:ascii="Times New Roman" w:eastAsiaTheme="minorHAnsi" w:hAnsi="Times New Roman" w:cs="Times New Roman"/>
                <w:sz w:val="22"/>
                <w:szCs w:val="22"/>
                <w:lang w:eastAsia="en-US"/>
              </w:rPr>
            </w:pPr>
            <w:r w:rsidRPr="006F001D">
              <w:rPr>
                <w:rFonts w:ascii="Times New Roman" w:eastAsiaTheme="minorHAnsi" w:hAnsi="Times New Roman" w:cs="Times New Roman"/>
                <w:sz w:val="22"/>
                <w:szCs w:val="22"/>
                <w:lang w:eastAsia="en-US"/>
              </w:rPr>
              <w:lastRenderedPageBreak/>
              <w:t>2. Zmiana słowa „opracowanego” na „opracowany”.</w:t>
            </w:r>
          </w:p>
          <w:p w14:paraId="303B276A" w14:textId="77777777" w:rsidR="008A3702" w:rsidRPr="008A3702" w:rsidRDefault="006F001D" w:rsidP="006F001D">
            <w:pPr>
              <w:spacing w:before="0" w:after="0" w:line="240" w:lineRule="auto"/>
              <w:jc w:val="both"/>
              <w:rPr>
                <w:rFonts w:ascii="Times New Roman" w:eastAsiaTheme="minorHAnsi" w:hAnsi="Times New Roman" w:cs="Times New Roman"/>
                <w:sz w:val="22"/>
                <w:szCs w:val="22"/>
                <w:lang w:eastAsia="en-US"/>
              </w:rPr>
            </w:pPr>
            <w:r w:rsidRPr="006F001D">
              <w:rPr>
                <w:rFonts w:ascii="Times New Roman" w:eastAsiaTheme="minorHAnsi" w:hAnsi="Times New Roman" w:cs="Times New Roman"/>
                <w:sz w:val="22"/>
                <w:szCs w:val="22"/>
                <w:lang w:eastAsia="en-US"/>
              </w:rPr>
              <w:t>Opracowywany jest program komputerowy, którego częścią jest kod źródłowy.</w:t>
            </w:r>
          </w:p>
        </w:tc>
      </w:tr>
      <w:tr w:rsidR="003D5BFD" w:rsidRPr="008A3702" w14:paraId="26CF97F1" w14:textId="77777777" w:rsidTr="00F73818">
        <w:tc>
          <w:tcPr>
            <w:tcW w:w="676" w:type="dxa"/>
            <w:shd w:val="clear" w:color="auto" w:fill="auto"/>
          </w:tcPr>
          <w:p w14:paraId="5BFCAF83"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07E611CE" w14:textId="77777777" w:rsidR="003D5BFD" w:rsidRPr="00C9140D" w:rsidRDefault="006F001D" w:rsidP="008A3702">
            <w:pPr>
              <w:spacing w:before="0" w:after="0" w:line="240" w:lineRule="auto"/>
              <w:rPr>
                <w:rFonts w:ascii="Times New Roman" w:eastAsiaTheme="minorHAnsi" w:hAnsi="Times New Roman" w:cs="Times New Roman"/>
                <w:sz w:val="22"/>
                <w:szCs w:val="22"/>
                <w:lang w:eastAsia="en-US"/>
              </w:rPr>
            </w:pPr>
            <w:r w:rsidRPr="00C9140D">
              <w:rPr>
                <w:rFonts w:ascii="Times New Roman" w:eastAsiaTheme="minorHAnsi" w:hAnsi="Times New Roman" w:cs="Times New Roman"/>
                <w:sz w:val="22"/>
                <w:szCs w:val="22"/>
                <w:lang w:eastAsia="en-US"/>
              </w:rPr>
              <w:t>Urząd Ochrony Danych Osobowych</w:t>
            </w:r>
          </w:p>
        </w:tc>
        <w:tc>
          <w:tcPr>
            <w:tcW w:w="1526" w:type="dxa"/>
            <w:shd w:val="clear" w:color="auto" w:fill="auto"/>
          </w:tcPr>
          <w:p w14:paraId="2045BDD1" w14:textId="77777777" w:rsidR="003D5BFD" w:rsidRPr="00C9140D" w:rsidRDefault="006F001D" w:rsidP="008A3702">
            <w:pPr>
              <w:spacing w:before="0" w:after="0" w:line="240" w:lineRule="auto"/>
              <w:rPr>
                <w:rFonts w:ascii="Times New Roman" w:eastAsiaTheme="minorHAnsi" w:hAnsi="Times New Roman" w:cs="Times New Roman"/>
                <w:sz w:val="22"/>
                <w:szCs w:val="22"/>
                <w:lang w:eastAsia="en-US"/>
              </w:rPr>
            </w:pPr>
            <w:r w:rsidRPr="00C9140D">
              <w:rPr>
                <w:rFonts w:ascii="Times New Roman" w:eastAsiaTheme="minorHAnsi" w:hAnsi="Times New Roman" w:cs="Times New Roman"/>
                <w:sz w:val="22"/>
                <w:szCs w:val="22"/>
                <w:lang w:eastAsia="en-US"/>
              </w:rPr>
              <w:t>Art. 13</w:t>
            </w:r>
          </w:p>
        </w:tc>
        <w:tc>
          <w:tcPr>
            <w:tcW w:w="5323" w:type="dxa"/>
            <w:shd w:val="clear" w:color="auto" w:fill="auto"/>
          </w:tcPr>
          <w:p w14:paraId="2E8FB452" w14:textId="77777777" w:rsidR="006F001D" w:rsidRPr="00C9140D" w:rsidRDefault="006F001D" w:rsidP="006F001D">
            <w:pPr>
              <w:spacing w:before="0" w:after="0" w:line="240" w:lineRule="auto"/>
              <w:jc w:val="both"/>
              <w:rPr>
                <w:rFonts w:ascii="Times New Roman" w:eastAsiaTheme="minorHAnsi" w:hAnsi="Times New Roman" w:cs="Times New Roman"/>
                <w:bCs/>
                <w:sz w:val="22"/>
                <w:szCs w:val="22"/>
                <w:lang w:eastAsia="en-US"/>
              </w:rPr>
            </w:pPr>
            <w:r w:rsidRPr="00C9140D">
              <w:rPr>
                <w:rFonts w:ascii="Times New Roman" w:eastAsiaTheme="minorHAnsi" w:hAnsi="Times New Roman" w:cs="Times New Roman"/>
                <w:sz w:val="22"/>
                <w:szCs w:val="22"/>
                <w:lang w:eastAsia="en-US"/>
              </w:rPr>
              <w:t xml:space="preserve">Zgodnie z </w:t>
            </w:r>
            <w:r w:rsidRPr="00C9140D">
              <w:rPr>
                <w:rFonts w:ascii="Times New Roman" w:eastAsiaTheme="minorHAnsi" w:hAnsi="Times New Roman" w:cs="Times New Roman"/>
                <w:bCs/>
                <w:sz w:val="22"/>
                <w:szCs w:val="22"/>
                <w:lang w:eastAsia="en-US"/>
              </w:rPr>
              <w:t xml:space="preserve">art. 13 projektu </w:t>
            </w:r>
            <w:r w:rsidRPr="00C9140D">
              <w:rPr>
                <w:rFonts w:ascii="Times New Roman" w:eastAsiaTheme="minorHAnsi" w:hAnsi="Times New Roman" w:cs="Times New Roman"/>
                <w:sz w:val="22"/>
                <w:szCs w:val="22"/>
                <w:lang w:eastAsia="en-US"/>
              </w:rPr>
              <w:t xml:space="preserve">podmiot zobowiązany odpowiada </w:t>
            </w:r>
            <w:r w:rsidRPr="00C9140D">
              <w:rPr>
                <w:rFonts w:ascii="Times New Roman" w:eastAsiaTheme="minorHAnsi" w:hAnsi="Times New Roman" w:cs="Times New Roman"/>
                <w:bCs/>
                <w:sz w:val="22"/>
                <w:szCs w:val="22"/>
                <w:lang w:eastAsia="en-US"/>
              </w:rPr>
              <w:t xml:space="preserve">za zgodność z obowiązującymi przepisami, </w:t>
            </w:r>
            <w:r w:rsidRPr="00C9140D">
              <w:rPr>
                <w:rFonts w:ascii="Times New Roman" w:eastAsiaTheme="minorHAnsi" w:hAnsi="Times New Roman" w:cs="Times New Roman"/>
                <w:sz w:val="22"/>
                <w:szCs w:val="22"/>
                <w:lang w:eastAsia="en-US"/>
              </w:rPr>
              <w:t>dostępność, poprawność, aktualność, kompletność i jakość</w:t>
            </w:r>
            <w:r w:rsidRPr="00C9140D">
              <w:rPr>
                <w:rFonts w:ascii="Times New Roman" w:eastAsiaTheme="minorHAnsi" w:hAnsi="Times New Roman" w:cs="Times New Roman"/>
                <w:bCs/>
                <w:sz w:val="22"/>
                <w:szCs w:val="22"/>
                <w:lang w:eastAsia="en-US"/>
              </w:rPr>
              <w:t xml:space="preserve"> </w:t>
            </w:r>
            <w:r w:rsidRPr="00C9140D">
              <w:rPr>
                <w:rFonts w:ascii="Times New Roman" w:eastAsiaTheme="minorHAnsi" w:hAnsi="Times New Roman" w:cs="Times New Roman"/>
                <w:sz w:val="22"/>
                <w:szCs w:val="22"/>
                <w:lang w:eastAsia="en-US"/>
              </w:rPr>
              <w:t>informacji sektora publicznego, które udostępnia lub przekazuje do ponownego wykorzystywania.</w:t>
            </w:r>
          </w:p>
          <w:p w14:paraId="5A058CDF" w14:textId="77777777" w:rsidR="006F001D" w:rsidRPr="00C9140D" w:rsidRDefault="006F001D" w:rsidP="006F001D">
            <w:pPr>
              <w:spacing w:before="0" w:after="0" w:line="240" w:lineRule="auto"/>
              <w:jc w:val="both"/>
              <w:rPr>
                <w:rFonts w:ascii="Times New Roman" w:eastAsiaTheme="minorHAnsi" w:hAnsi="Times New Roman" w:cs="Times New Roman"/>
                <w:bCs/>
                <w:i/>
                <w:iCs/>
                <w:sz w:val="22"/>
                <w:szCs w:val="22"/>
                <w:lang w:eastAsia="en-US"/>
              </w:rPr>
            </w:pPr>
            <w:r w:rsidRPr="00C9140D">
              <w:rPr>
                <w:rFonts w:ascii="Times New Roman" w:eastAsiaTheme="minorHAnsi" w:hAnsi="Times New Roman" w:cs="Times New Roman"/>
                <w:bCs/>
                <w:sz w:val="22"/>
                <w:szCs w:val="22"/>
                <w:lang w:eastAsia="en-US"/>
              </w:rPr>
              <w:t xml:space="preserve">Wskazać zatem trzeba, że zgodnie z motywem 52 dyrektywy 2019/1024/UE </w:t>
            </w:r>
            <w:r w:rsidRPr="00C9140D">
              <w:rPr>
                <w:rFonts w:ascii="Times New Roman" w:eastAsiaTheme="minorHAnsi" w:hAnsi="Times New Roman" w:cs="Times New Roman"/>
                <w:bCs/>
                <w:i/>
                <w:iCs/>
                <w:sz w:val="22"/>
                <w:szCs w:val="22"/>
                <w:lang w:eastAsia="en-US"/>
              </w:rPr>
              <w:t>proces anonimizacji informacji jest sposobem pogodzenia względów przemawiających za umożliwieniem ponownego wykorzystywania informacji sektora publicznego w jak najszerszym zakresie z obowiązkami wynikającymi z przepisów o ochronie danych.</w:t>
            </w:r>
          </w:p>
          <w:p w14:paraId="21FA341C" w14:textId="77777777" w:rsidR="003D5BFD" w:rsidRPr="00C9140D" w:rsidRDefault="006F001D" w:rsidP="006F001D">
            <w:pPr>
              <w:spacing w:before="0" w:after="0" w:line="240" w:lineRule="auto"/>
              <w:jc w:val="both"/>
              <w:rPr>
                <w:rFonts w:ascii="Times New Roman" w:eastAsiaTheme="minorHAnsi" w:hAnsi="Times New Roman" w:cs="Times New Roman"/>
                <w:sz w:val="22"/>
                <w:szCs w:val="22"/>
                <w:lang w:eastAsia="en-US"/>
              </w:rPr>
            </w:pPr>
            <w:r w:rsidRPr="00C9140D">
              <w:rPr>
                <w:rFonts w:ascii="Times New Roman" w:eastAsiaTheme="minorHAnsi" w:hAnsi="Times New Roman" w:cs="Times New Roman"/>
                <w:bCs/>
                <w:sz w:val="22"/>
                <w:szCs w:val="22"/>
                <w:lang w:eastAsia="en-US"/>
              </w:rPr>
              <w:t>Dlatego też Projektodawca powinien rozszerzyć katalog obowiązków podmiotu zobowiązanego o dokonywanie prawidłowej anonimizacji w rozumieniu art. 2 ust. 7 dyrektywy 2019/1024/UE zgodnie ze standardami określonymi w rozporządzeniu wykonawczym opracowanym na podstawie delegacji zawartej w projekcie. Przyjęcie takiego rozwiązania spowodowałoby wprowadzenie pożądanego i pomocnego ujednolicenia postępowania podmiotów zobowiązanych w zakresie wykonywania anonimizacji.</w:t>
            </w:r>
          </w:p>
        </w:tc>
        <w:tc>
          <w:tcPr>
            <w:tcW w:w="4785" w:type="dxa"/>
            <w:shd w:val="clear" w:color="auto" w:fill="auto"/>
          </w:tcPr>
          <w:p w14:paraId="45CC5EE9" w14:textId="77777777" w:rsidR="00C9140D" w:rsidRPr="00C9140D" w:rsidRDefault="00C9140D" w:rsidP="00C9140D">
            <w:pPr>
              <w:spacing w:before="0" w:after="0" w:line="240" w:lineRule="auto"/>
              <w:rPr>
                <w:rFonts w:ascii="Times New Roman" w:eastAsiaTheme="minorHAnsi" w:hAnsi="Times New Roman" w:cs="Times New Roman"/>
                <w:b/>
                <w:sz w:val="22"/>
                <w:szCs w:val="22"/>
                <w:lang w:eastAsia="en-US"/>
              </w:rPr>
            </w:pPr>
            <w:r w:rsidRPr="00C9140D">
              <w:rPr>
                <w:rFonts w:ascii="Times New Roman" w:eastAsiaTheme="minorHAnsi" w:hAnsi="Times New Roman" w:cs="Times New Roman"/>
                <w:b/>
                <w:sz w:val="22"/>
                <w:szCs w:val="22"/>
                <w:lang w:eastAsia="en-US"/>
              </w:rPr>
              <w:t>Uwaga nieuwzględniona</w:t>
            </w:r>
          </w:p>
          <w:p w14:paraId="4C61F7AC" w14:textId="77777777" w:rsidR="00C9140D" w:rsidRPr="00C9140D" w:rsidRDefault="00C9140D" w:rsidP="00C9140D">
            <w:pPr>
              <w:spacing w:before="0" w:after="0" w:line="240" w:lineRule="auto"/>
              <w:jc w:val="both"/>
              <w:rPr>
                <w:rFonts w:ascii="Times New Roman" w:eastAsiaTheme="minorHAnsi" w:hAnsi="Times New Roman" w:cs="Times New Roman"/>
                <w:sz w:val="22"/>
                <w:szCs w:val="22"/>
                <w:lang w:eastAsia="en-US"/>
              </w:rPr>
            </w:pPr>
            <w:r w:rsidRPr="00C9140D">
              <w:rPr>
                <w:rFonts w:ascii="Times New Roman" w:eastAsiaTheme="minorHAnsi" w:hAnsi="Times New Roman" w:cs="Times New Roman"/>
                <w:sz w:val="22"/>
                <w:szCs w:val="22"/>
                <w:lang w:eastAsia="en-US"/>
              </w:rPr>
              <w:t xml:space="preserve">W opinii projektodawcy niezasadne jest rozszerzenie katalogu obowiązków podmiotu zobowiązanego o dokonywanie prawidłowej anonimizacji w rozumieniu art. 2 ust. 7 dyrektywy 2019/1024/UE zgodnie ze standardami określonymi w rozporządzeniu wykonawczym opracowanym na podstawie delegacji zawartej w projekcie. Po pierwsze, projekt zawiera definicję anonimizacji, zatem oczywistym jest, że podmiot zobowiązany dokonując anonimizacji danych musi osiągnąć skutek takiej operacji, a więc nieodwracalną i trwałą depersonalizację informacji sektora publicznego, która uniemożliwia identyfikację osoby fizycznej. Po drugie, nie jest jasne w oparciu o jakie standardy, które miałyby zostać określone w rozporządzeniu do projektowanej ustawy, podmiot zobowiązany miałby dokonywać anonimizacji. Projektodawcy nie jest znane rozwiązanie istniejące w ustawodawstwach państw członkowskich UE, polegające na określaniu w przepisach wdrażających dyrektywy o ponownym wykorzystywaniu upoważnienia do „opracowania standardów” w przepisach wykonawczych w zakresie anonimizacji danych. W opinii KPRM nie jest to materia, która powinna być objęta przepisami służącymi transpozycji dyrektywy 2019/1024/UE, wykracza to poza cele i zakres projektowanej regulacji. Ponadto nie jest jasny szczegółowy zakres materialny takiego aktu wykonawczego. </w:t>
            </w:r>
          </w:p>
          <w:p w14:paraId="16ADDBA2" w14:textId="656751F5" w:rsidR="003D5BFD" w:rsidRPr="006F001D" w:rsidRDefault="00C9140D" w:rsidP="00C9140D">
            <w:pPr>
              <w:spacing w:before="0" w:after="0" w:line="240" w:lineRule="auto"/>
              <w:jc w:val="both"/>
              <w:rPr>
                <w:rFonts w:ascii="Times New Roman" w:eastAsiaTheme="minorHAnsi" w:hAnsi="Times New Roman" w:cs="Times New Roman"/>
                <w:sz w:val="22"/>
                <w:szCs w:val="22"/>
                <w:highlight w:val="yellow"/>
                <w:lang w:eastAsia="en-US"/>
              </w:rPr>
            </w:pPr>
            <w:r w:rsidRPr="00C9140D">
              <w:rPr>
                <w:rFonts w:ascii="Times New Roman" w:eastAsiaTheme="minorHAnsi" w:hAnsi="Times New Roman" w:cs="Times New Roman"/>
                <w:sz w:val="22"/>
                <w:szCs w:val="22"/>
                <w:lang w:eastAsia="en-US"/>
              </w:rPr>
              <w:lastRenderedPageBreak/>
              <w:t xml:space="preserve">Ponadto, mając na uwadze Opinię 05/2014 Grupy Roboczej art. 29 w sprawie technik anonimizacji Ministerstwo Cyfryzacji opracowało już Standard bezpieczeństwa, który jest dostępny na portalu dane.gov.pl </w:t>
            </w:r>
            <w:hyperlink r:id="rId7" w:history="1">
              <w:r w:rsidRPr="00C9140D">
                <w:rPr>
                  <w:rFonts w:ascii="Times New Roman" w:eastAsiaTheme="minorHAnsi" w:hAnsi="Times New Roman" w:cs="Times New Roman"/>
                  <w:color w:val="0563C1" w:themeColor="hyperlink"/>
                  <w:sz w:val="22"/>
                  <w:szCs w:val="22"/>
                  <w:u w:val="single"/>
                  <w:lang w:eastAsia="en-US"/>
                </w:rPr>
                <w:t>https://dane.gov.pl/pl/knowledgebase/useful-materials/standardy-otwartosci-danych</w:t>
              </w:r>
            </w:hyperlink>
            <w:r w:rsidRPr="00C9140D">
              <w:rPr>
                <w:rFonts w:ascii="Times New Roman" w:eastAsiaTheme="minorHAnsi" w:hAnsi="Times New Roman" w:cs="Times New Roman"/>
                <w:sz w:val="22"/>
                <w:szCs w:val="22"/>
                <w:lang w:eastAsia="en-US"/>
              </w:rPr>
              <w:t xml:space="preserve"> i jest zalecany do stosowania przez podmioty udostępniające informacje sektora publicznego do ponownego wykorzystywania.</w:t>
            </w:r>
          </w:p>
        </w:tc>
      </w:tr>
      <w:tr w:rsidR="003D5BFD" w:rsidRPr="008A3702" w14:paraId="450FA874" w14:textId="77777777" w:rsidTr="00F73818">
        <w:tc>
          <w:tcPr>
            <w:tcW w:w="676" w:type="dxa"/>
            <w:shd w:val="clear" w:color="auto" w:fill="auto"/>
          </w:tcPr>
          <w:p w14:paraId="0504B3F9"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0790C82" w14:textId="77777777" w:rsidR="003D5BFD" w:rsidRPr="008A3702" w:rsidRDefault="000B16F5" w:rsidP="008A3702">
            <w:pPr>
              <w:spacing w:before="0" w:after="0" w:line="240" w:lineRule="auto"/>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Główny Urząd Statystyczny</w:t>
            </w:r>
          </w:p>
        </w:tc>
        <w:tc>
          <w:tcPr>
            <w:tcW w:w="1526" w:type="dxa"/>
            <w:shd w:val="clear" w:color="auto" w:fill="auto"/>
          </w:tcPr>
          <w:p w14:paraId="5EE1A1C7" w14:textId="77777777" w:rsidR="003D5BFD" w:rsidRPr="008A3702" w:rsidRDefault="000B16F5" w:rsidP="008A3702">
            <w:pPr>
              <w:spacing w:before="0" w:after="0" w:line="240" w:lineRule="auto"/>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Art. 13</w:t>
            </w:r>
          </w:p>
        </w:tc>
        <w:tc>
          <w:tcPr>
            <w:tcW w:w="5323" w:type="dxa"/>
            <w:shd w:val="clear" w:color="auto" w:fill="auto"/>
          </w:tcPr>
          <w:p w14:paraId="1108453C" w14:textId="77777777" w:rsidR="000B16F5" w:rsidRPr="000B16F5"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GUS proponuje w rozdziale 2 po art. 13 dodanie art. 13a w brzmieniu:</w:t>
            </w:r>
          </w:p>
          <w:p w14:paraId="0554BE88" w14:textId="77777777" w:rsidR="000B16F5" w:rsidRPr="000B16F5"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 xml:space="preserve">„Art. 13a. Podmioty zobowiązane zapewniają:   </w:t>
            </w:r>
          </w:p>
          <w:p w14:paraId="1F1E0F92" w14:textId="77777777" w:rsidR="000B16F5" w:rsidRPr="000B16F5"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1) interoperacyjność prowadzonych rejestrów urzędowych i systemów informacyjnych administracji publicznej;</w:t>
            </w:r>
          </w:p>
          <w:p w14:paraId="5F48154D" w14:textId="77777777" w:rsidR="000B16F5" w:rsidRPr="000B16F5"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2) stosowanie przy udostępnianiu lub przekazywaniu informacji sektora publicznego podstawowych standardów klasyfikacyjnych i identyfikacyjnych, w tym oznaczeń kodowych przyjętych w rejestrze terytorialnym, oraz definicji podstawowych kategorii ustalonych w rejestrach urzędowych i systemach informacyjnych administracji publicznej”.</w:t>
            </w:r>
          </w:p>
          <w:p w14:paraId="6B660CD4" w14:textId="77777777" w:rsidR="000B16F5" w:rsidRPr="000B16F5"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Dodanie art. 13a ma na celu zobowiązanie podmiotów udostępniających lub przekazujących informacje sektora publicznego, w tym dane o wysokiej wartości, do tworzenia warunków sprzyjających ponownemu wykorzystywaniu informacji sektora publicznego poprzez zwiększenie spójności zasobów informacyjnych w prowadzonych przez te podmioty rejestrach i systemach informacyjnych.</w:t>
            </w:r>
          </w:p>
          <w:p w14:paraId="45070366" w14:textId="77777777" w:rsidR="003D5BFD" w:rsidRPr="008A3702" w:rsidRDefault="000B16F5" w:rsidP="000B16F5">
            <w:pPr>
              <w:spacing w:before="0" w:after="0" w:line="240" w:lineRule="auto"/>
              <w:jc w:val="both"/>
              <w:rPr>
                <w:rFonts w:ascii="Times New Roman" w:eastAsiaTheme="minorHAnsi" w:hAnsi="Times New Roman" w:cs="Times New Roman"/>
                <w:sz w:val="22"/>
                <w:szCs w:val="22"/>
                <w:lang w:eastAsia="en-US"/>
              </w:rPr>
            </w:pPr>
            <w:r w:rsidRPr="000B16F5">
              <w:rPr>
                <w:rFonts w:ascii="Times New Roman" w:eastAsiaTheme="minorHAnsi" w:hAnsi="Times New Roman" w:cs="Times New Roman"/>
                <w:sz w:val="22"/>
                <w:szCs w:val="22"/>
                <w:lang w:eastAsia="en-US"/>
              </w:rPr>
              <w:t>Proponowany przepis jest konieczny dla zapewnienie spójności ze zmianami proponowanymi w art. 26  i art. 45 projektowanej ustawy (w zakresie dodania pkt 6a w art. 25 ust. 1 ustawy o statystyce publicznej).</w:t>
            </w:r>
          </w:p>
        </w:tc>
        <w:tc>
          <w:tcPr>
            <w:tcW w:w="4785" w:type="dxa"/>
            <w:shd w:val="clear" w:color="auto" w:fill="auto"/>
          </w:tcPr>
          <w:p w14:paraId="391A2690" w14:textId="77777777" w:rsidR="000B16F5" w:rsidRPr="008075E0" w:rsidRDefault="000B16F5" w:rsidP="000B16F5">
            <w:pPr>
              <w:spacing w:before="0" w:after="0" w:line="240" w:lineRule="auto"/>
              <w:rPr>
                <w:rFonts w:ascii="Times New Roman" w:eastAsiaTheme="minorHAnsi" w:hAnsi="Times New Roman" w:cs="Times New Roman"/>
                <w:b/>
                <w:sz w:val="22"/>
                <w:szCs w:val="22"/>
                <w:lang w:eastAsia="en-US"/>
              </w:rPr>
            </w:pPr>
            <w:r w:rsidRPr="008075E0">
              <w:rPr>
                <w:rFonts w:ascii="Times New Roman" w:eastAsiaTheme="minorHAnsi" w:hAnsi="Times New Roman" w:cs="Times New Roman"/>
                <w:b/>
                <w:sz w:val="22"/>
                <w:szCs w:val="22"/>
                <w:lang w:eastAsia="en-US"/>
              </w:rPr>
              <w:t>Uwaga nieuwzględniona</w:t>
            </w:r>
          </w:p>
          <w:p w14:paraId="11C170C3" w14:textId="2F92281B" w:rsidR="003D5BFD" w:rsidRPr="008A3702" w:rsidRDefault="008075E0" w:rsidP="008075E0">
            <w:pPr>
              <w:spacing w:before="0" w:after="0" w:line="240" w:lineRule="auto"/>
              <w:jc w:val="both"/>
              <w:rPr>
                <w:rFonts w:ascii="Times New Roman" w:eastAsiaTheme="minorHAnsi" w:hAnsi="Times New Roman" w:cs="Times New Roman"/>
                <w:sz w:val="22"/>
                <w:szCs w:val="22"/>
                <w:lang w:eastAsia="en-US"/>
              </w:rPr>
            </w:pPr>
            <w:r w:rsidRPr="008075E0">
              <w:rPr>
                <w:rFonts w:ascii="Times New Roman" w:eastAsiaTheme="minorHAnsi" w:hAnsi="Times New Roman" w:cs="Times New Roman"/>
                <w:sz w:val="22"/>
                <w:szCs w:val="22"/>
                <w:lang w:eastAsia="en-US"/>
              </w:rPr>
              <w:t>Kwestie poruszone w uwadze dotyczą problematyki regulowanej przez us</w:t>
            </w:r>
            <w:r>
              <w:rPr>
                <w:rFonts w:ascii="Times New Roman" w:eastAsiaTheme="minorHAnsi" w:hAnsi="Times New Roman" w:cs="Times New Roman"/>
                <w:sz w:val="22"/>
                <w:szCs w:val="22"/>
                <w:lang w:eastAsia="en-US"/>
              </w:rPr>
              <w:t>tawę z dnia 17 lutego 2005 r. o </w:t>
            </w:r>
            <w:r w:rsidRPr="008075E0">
              <w:rPr>
                <w:rFonts w:ascii="Times New Roman" w:eastAsiaTheme="minorHAnsi" w:hAnsi="Times New Roman" w:cs="Times New Roman"/>
                <w:sz w:val="22"/>
                <w:szCs w:val="22"/>
                <w:lang w:eastAsia="en-US"/>
              </w:rPr>
              <w:t>informatyzacji działalności podmiotów realizujących zadan</w:t>
            </w:r>
            <w:r>
              <w:rPr>
                <w:rFonts w:ascii="Times New Roman" w:eastAsiaTheme="minorHAnsi" w:hAnsi="Times New Roman" w:cs="Times New Roman"/>
                <w:sz w:val="22"/>
                <w:szCs w:val="22"/>
                <w:lang w:eastAsia="en-US"/>
              </w:rPr>
              <w:t>ia (Dz. U. z 2020 r. poz. 346 z </w:t>
            </w:r>
            <w:r w:rsidRPr="008075E0">
              <w:rPr>
                <w:rFonts w:ascii="Times New Roman" w:eastAsiaTheme="minorHAnsi" w:hAnsi="Times New Roman" w:cs="Times New Roman"/>
                <w:sz w:val="22"/>
                <w:szCs w:val="22"/>
                <w:lang w:eastAsia="en-US"/>
              </w:rPr>
              <w:t>późn. zm.). Projektowana ustawa nie stanowi instrumentu legislacyjnego, który  mógłby realizować cele zakładane przez zgłaszającego uwagę.</w:t>
            </w:r>
          </w:p>
        </w:tc>
      </w:tr>
      <w:tr w:rsidR="003D5BFD" w:rsidRPr="008A3702" w14:paraId="32C1FD4F" w14:textId="77777777" w:rsidTr="00F73818">
        <w:tc>
          <w:tcPr>
            <w:tcW w:w="676" w:type="dxa"/>
            <w:shd w:val="clear" w:color="auto" w:fill="auto"/>
          </w:tcPr>
          <w:p w14:paraId="04BE4C27"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137C17C3" w14:textId="77777777" w:rsidR="003D5BFD" w:rsidRPr="00960B3B" w:rsidRDefault="00960B3B" w:rsidP="008A3702">
            <w:pPr>
              <w:spacing w:before="0" w:after="0" w:line="240" w:lineRule="auto"/>
              <w:rPr>
                <w:rFonts w:ascii="Times New Roman" w:eastAsiaTheme="minorHAnsi" w:hAnsi="Times New Roman" w:cs="Times New Roman"/>
                <w:sz w:val="22"/>
                <w:szCs w:val="22"/>
                <w:lang w:eastAsia="en-US"/>
              </w:rPr>
            </w:pPr>
            <w:r w:rsidRPr="00960B3B">
              <w:rPr>
                <w:rFonts w:ascii="Times New Roman" w:hAnsi="Times New Roman" w:cs="Times New Roman"/>
                <w:sz w:val="22"/>
                <w:szCs w:val="22"/>
              </w:rPr>
              <w:t>Naczelna Dyrekcja Archiwów Państwowych</w:t>
            </w:r>
          </w:p>
        </w:tc>
        <w:tc>
          <w:tcPr>
            <w:tcW w:w="1526" w:type="dxa"/>
            <w:shd w:val="clear" w:color="auto" w:fill="auto"/>
          </w:tcPr>
          <w:p w14:paraId="1AA85208" w14:textId="77777777" w:rsidR="003D5BFD" w:rsidRPr="008A3702" w:rsidRDefault="00960B3B" w:rsidP="008A3702">
            <w:pPr>
              <w:spacing w:before="0" w:after="0" w:line="240" w:lineRule="auto"/>
              <w:rPr>
                <w:rFonts w:ascii="Times New Roman" w:eastAsiaTheme="minorHAnsi" w:hAnsi="Times New Roman" w:cs="Times New Roman"/>
                <w:sz w:val="22"/>
                <w:szCs w:val="22"/>
                <w:lang w:eastAsia="en-US"/>
              </w:rPr>
            </w:pPr>
            <w:r w:rsidRPr="00960B3B">
              <w:rPr>
                <w:rFonts w:ascii="Times New Roman" w:eastAsiaTheme="minorHAnsi" w:hAnsi="Times New Roman" w:cs="Times New Roman"/>
                <w:sz w:val="22"/>
                <w:szCs w:val="22"/>
                <w:lang w:eastAsia="en-US"/>
              </w:rPr>
              <w:t>Uwaga ogólna</w:t>
            </w:r>
          </w:p>
        </w:tc>
        <w:tc>
          <w:tcPr>
            <w:tcW w:w="5323" w:type="dxa"/>
            <w:shd w:val="clear" w:color="auto" w:fill="auto"/>
          </w:tcPr>
          <w:p w14:paraId="465FCD9B" w14:textId="77777777" w:rsidR="00960B3B" w:rsidRPr="00960B3B" w:rsidRDefault="00960B3B" w:rsidP="00960B3B">
            <w:pPr>
              <w:spacing w:before="0" w:after="0" w:line="240" w:lineRule="auto"/>
              <w:jc w:val="both"/>
              <w:rPr>
                <w:rFonts w:ascii="Times New Roman" w:eastAsiaTheme="minorHAnsi" w:hAnsi="Times New Roman" w:cs="Times New Roman"/>
                <w:sz w:val="22"/>
                <w:szCs w:val="22"/>
                <w:lang w:eastAsia="en-US"/>
              </w:rPr>
            </w:pPr>
            <w:r w:rsidRPr="00960B3B">
              <w:rPr>
                <w:rFonts w:ascii="Times New Roman" w:eastAsiaTheme="minorHAnsi" w:hAnsi="Times New Roman" w:cs="Times New Roman"/>
                <w:sz w:val="22"/>
                <w:szCs w:val="22"/>
                <w:lang w:eastAsia="en-US"/>
              </w:rPr>
              <w:t>Występujący w projekcie w różnych formach gramatycznych zwrot „opłat za [ich] ponowne wykorzystywanie” proponuje się zastąpić – przy pierwszym użyciu (art. 1) – zwrotem „opłat z tytułu dodatkowych kosztów przygotowania lub przekazania informacji, zwanych dalej „opłatami za dodatkowe koszty”, a w przypadku użycia w kolejnych jednostkach redakcyjnych (rzeczony zwrot występuje tam bez zaimka „ich”): „opłata za dodatkowe koszty” – w odpowiedniej liczbie i przypadku. Zmiana nie miałaby wpływu na posługiwanie się w projekcie  terminem „opłata” bez dodatkowych określeń.</w:t>
            </w:r>
          </w:p>
          <w:p w14:paraId="645F7ED6" w14:textId="77777777" w:rsidR="00960B3B" w:rsidRPr="00960B3B" w:rsidRDefault="00960B3B" w:rsidP="00960B3B">
            <w:pPr>
              <w:spacing w:before="0" w:after="0" w:line="240" w:lineRule="auto"/>
              <w:jc w:val="both"/>
              <w:rPr>
                <w:rFonts w:ascii="Times New Roman" w:eastAsiaTheme="minorHAnsi" w:hAnsi="Times New Roman" w:cs="Times New Roman"/>
                <w:sz w:val="22"/>
                <w:szCs w:val="22"/>
                <w:lang w:eastAsia="en-US"/>
              </w:rPr>
            </w:pPr>
            <w:r w:rsidRPr="00960B3B">
              <w:rPr>
                <w:rFonts w:ascii="Times New Roman" w:eastAsiaTheme="minorHAnsi" w:hAnsi="Times New Roman" w:cs="Times New Roman"/>
                <w:sz w:val="22"/>
                <w:szCs w:val="22"/>
                <w:lang w:eastAsia="en-US"/>
              </w:rPr>
              <w:t xml:space="preserve">Podstawowa charakterystyka przesłanek nakładania opłat (art. 18 ust. 1 projektu) wskazuje, że należności te nie mają związku z jakimikolwiek okolicznościami wykorzystywania informacji, a w tym – z celem lub sposobem wykorzystywania. Występujący już w upw – zwrot „opłata za ponowne wykorzystywanie” wskazuje na poddanie ciężarom finansowym samego korzystania z informacji sektora publicznego, niezgodnie z oczywistym znaczeniem przepisów projektu oraz intencją prawodawcy. </w:t>
            </w:r>
          </w:p>
          <w:p w14:paraId="3E91B52E" w14:textId="77777777" w:rsidR="003D5BFD" w:rsidRPr="008A3702" w:rsidRDefault="00960B3B" w:rsidP="00960B3B">
            <w:pPr>
              <w:spacing w:before="0" w:after="0" w:line="240" w:lineRule="auto"/>
              <w:jc w:val="both"/>
              <w:rPr>
                <w:rFonts w:ascii="Times New Roman" w:eastAsiaTheme="minorHAnsi" w:hAnsi="Times New Roman" w:cs="Times New Roman"/>
                <w:sz w:val="22"/>
                <w:szCs w:val="22"/>
                <w:lang w:eastAsia="en-US"/>
              </w:rPr>
            </w:pPr>
            <w:r w:rsidRPr="00960B3B">
              <w:rPr>
                <w:rFonts w:ascii="Times New Roman" w:eastAsiaTheme="minorHAnsi" w:hAnsi="Times New Roman" w:cs="Times New Roman"/>
                <w:sz w:val="22"/>
                <w:szCs w:val="22"/>
                <w:lang w:eastAsia="en-US"/>
              </w:rPr>
              <w:t xml:space="preserve">Dyrektywa 2019/1024 Parlamentu Europejskiego i Rady z dnia 20 czerwca 2019 r. w sprawie otwartych danych i  ponownego wykorzystywania informacji sektora publicznego w 6 spośród 33 przypadków użycia terminu „opłata” (w tym tylko dwukrotnie w przepisie operacyjnym) odnosi go – bez szczególnej językowej dyscypliny – do ponownego wykorzystywania (motywy 18, 36, 46, 64 i 66 oraz art. 7 ust. 1 i 2). Dominuje użycie pozbawione dodatkowych określeń, a pojawiają się też rozwinięcia: „przekraczające koszty krańcowe”, „za użytkowanie komercyjne i niekomercyjne” lub „za usługi”. Proponowana zmiana nie koliduje więc z </w:t>
            </w:r>
            <w:r w:rsidRPr="00960B3B">
              <w:rPr>
                <w:rFonts w:ascii="Times New Roman" w:eastAsiaTheme="minorHAnsi" w:hAnsi="Times New Roman" w:cs="Times New Roman"/>
                <w:sz w:val="22"/>
                <w:szCs w:val="22"/>
                <w:lang w:eastAsia="en-US"/>
              </w:rPr>
              <w:lastRenderedPageBreak/>
              <w:t>dyrektywą, a poprawnie oddaje faktyczną przesłankę naliczenia należności.</w:t>
            </w:r>
          </w:p>
        </w:tc>
        <w:tc>
          <w:tcPr>
            <w:tcW w:w="4785" w:type="dxa"/>
            <w:shd w:val="clear" w:color="auto" w:fill="auto"/>
          </w:tcPr>
          <w:p w14:paraId="76E06C97" w14:textId="77777777" w:rsidR="008C0B78" w:rsidRPr="008C0B78" w:rsidRDefault="008C0B78" w:rsidP="008C0B78">
            <w:pPr>
              <w:spacing w:before="0" w:after="0" w:line="259" w:lineRule="auto"/>
              <w:rPr>
                <w:rFonts w:ascii="Times New Roman" w:eastAsiaTheme="minorHAnsi" w:hAnsi="Times New Roman" w:cs="Times New Roman"/>
                <w:b/>
                <w:sz w:val="22"/>
                <w:szCs w:val="22"/>
                <w:lang w:eastAsia="en-US"/>
              </w:rPr>
            </w:pPr>
            <w:r w:rsidRPr="008C0B78">
              <w:rPr>
                <w:rFonts w:ascii="Times New Roman" w:eastAsiaTheme="minorHAnsi" w:hAnsi="Times New Roman" w:cs="Times New Roman"/>
                <w:b/>
                <w:sz w:val="22"/>
                <w:szCs w:val="22"/>
                <w:lang w:eastAsia="en-US"/>
              </w:rPr>
              <w:lastRenderedPageBreak/>
              <w:t>Uwaga nieuwzględniona</w:t>
            </w:r>
          </w:p>
          <w:p w14:paraId="1AB2D69E" w14:textId="7CBDA427" w:rsidR="008C0B78" w:rsidRPr="008C0B78" w:rsidRDefault="008C0B78" w:rsidP="008C0B78">
            <w:pPr>
              <w:spacing w:before="0" w:after="0" w:line="259" w:lineRule="auto"/>
              <w:rPr>
                <w:rFonts w:ascii="Times New Roman" w:eastAsiaTheme="minorHAnsi" w:hAnsi="Times New Roman" w:cs="Times New Roman"/>
                <w:sz w:val="22"/>
                <w:szCs w:val="22"/>
                <w:lang w:eastAsia="en-US"/>
              </w:rPr>
            </w:pPr>
            <w:r w:rsidRPr="008C0B78">
              <w:rPr>
                <w:rFonts w:ascii="Times New Roman" w:eastAsiaTheme="minorHAnsi" w:hAnsi="Times New Roman" w:cs="Times New Roman"/>
                <w:sz w:val="22"/>
                <w:szCs w:val="22"/>
                <w:lang w:eastAsia="en-US"/>
              </w:rPr>
              <w:t>W projekcie ustawy występują następujące rodzaj</w:t>
            </w:r>
            <w:r w:rsidR="008075E0">
              <w:rPr>
                <w:rFonts w:ascii="Times New Roman" w:eastAsiaTheme="minorHAnsi" w:hAnsi="Times New Roman" w:cs="Times New Roman"/>
                <w:sz w:val="22"/>
                <w:szCs w:val="22"/>
                <w:lang w:eastAsia="en-US"/>
              </w:rPr>
              <w:t>e</w:t>
            </w:r>
            <w:r w:rsidRPr="008C0B78">
              <w:rPr>
                <w:rFonts w:ascii="Times New Roman" w:eastAsiaTheme="minorHAnsi" w:hAnsi="Times New Roman" w:cs="Times New Roman"/>
                <w:sz w:val="22"/>
                <w:szCs w:val="22"/>
                <w:lang w:eastAsia="en-US"/>
              </w:rPr>
              <w:t xml:space="preserve"> opłat: </w:t>
            </w:r>
          </w:p>
          <w:p w14:paraId="59E02551" w14:textId="77777777" w:rsidR="008C0B78" w:rsidRPr="008C0B78" w:rsidRDefault="008C0B78" w:rsidP="008C0B78">
            <w:pPr>
              <w:numPr>
                <w:ilvl w:val="0"/>
                <w:numId w:val="3"/>
              </w:numPr>
              <w:spacing w:before="0" w:after="160" w:line="259" w:lineRule="auto"/>
              <w:ind w:left="318" w:hanging="284"/>
              <w:contextualSpacing/>
              <w:jc w:val="both"/>
              <w:rPr>
                <w:rFonts w:ascii="Times New Roman" w:eastAsia="Calibri" w:hAnsi="Times New Roman" w:cs="Times New Roman"/>
                <w:sz w:val="22"/>
                <w:szCs w:val="22"/>
              </w:rPr>
            </w:pPr>
            <w:r w:rsidRPr="008C0B78">
              <w:rPr>
                <w:rFonts w:ascii="Times New Roman" w:eastAsia="Calibri" w:hAnsi="Times New Roman" w:cs="Times New Roman"/>
                <w:sz w:val="22"/>
                <w:szCs w:val="22"/>
              </w:rPr>
              <w:t xml:space="preserve">podmiot zobowiązany może nałożyć opłatę za ponowne wykorzystywanie, jeżeli przygotowanie lub przekazanie informacji w sposób lub w formie wskazanych we wniosku o ponowne wykorzystywanie wymaga poniesienia dodatkowych kosztów. </w:t>
            </w:r>
            <w:r w:rsidRPr="008C0B78">
              <w:rPr>
                <w:rFonts w:ascii="Times New Roman" w:eastAsiaTheme="minorHAnsi" w:hAnsi="Times New Roman" w:cs="Times New Roman"/>
                <w:sz w:val="22"/>
                <w:szCs w:val="22"/>
                <w:lang w:eastAsia="en-US"/>
              </w:rPr>
              <w:t xml:space="preserve">Ustalając wysokość takiej opłaty uwzględnia się koszty przygotowania lub przekazania ISP w określony sposób i w określonej formie oraz inne czynniki, które będą brane pod uwagę przy rozpatrywaniu wniosków o ponowne wykorzystywanie, które mogą mieć wpływ w szczególności na koszt lub czas przygotowania lub przekazania informacji. Łączna wysokość opłaty nie może przekroczyć sumy kosztów poniesionych bezpośrednio w celu przygotowania lub przekazania ISP w celu ponownego wykorzystywania w określony sposób i w określonej formie. Dodatkowo podmiot zobowiązany ustalające wysokość opłaty może uwzględnić koszty czynności związanych z anonimizacją danych osobowych oraz ze środkami zastosowanymi w celu ochrony tajemnicy przedsiębiorstwa (art. 18 projektu ustawy – opłata nakładana na zasadach ogólnych). </w:t>
            </w:r>
          </w:p>
          <w:p w14:paraId="07047DEE" w14:textId="77777777" w:rsidR="008C0B78" w:rsidRPr="008C0B78" w:rsidRDefault="008C0B78" w:rsidP="008C0B78">
            <w:pPr>
              <w:numPr>
                <w:ilvl w:val="0"/>
                <w:numId w:val="3"/>
              </w:numPr>
              <w:spacing w:before="0" w:after="160" w:line="259" w:lineRule="auto"/>
              <w:ind w:left="318" w:hanging="284"/>
              <w:contextualSpacing/>
              <w:jc w:val="both"/>
              <w:rPr>
                <w:rFonts w:ascii="Times New Roman" w:eastAsia="Calibri" w:hAnsi="Times New Roman" w:cs="Times New Roman"/>
                <w:sz w:val="22"/>
                <w:szCs w:val="22"/>
              </w:rPr>
            </w:pPr>
            <w:r w:rsidRPr="008C0B78">
              <w:rPr>
                <w:rFonts w:ascii="Times New Roman" w:eastAsia="Calibri" w:hAnsi="Times New Roman" w:cs="Times New Roman"/>
                <w:sz w:val="22"/>
                <w:szCs w:val="22"/>
              </w:rPr>
              <w:t xml:space="preserve">muzea państwowe i muzea samorządowe w przypadku udostępniania lub przekazywania ISP do ponownego wykorzystywania w celach innych niż niekomercyjne o charakterze badawczym, naukowym lub edukacyjnym mogą </w:t>
            </w:r>
            <w:r w:rsidRPr="008C0B78">
              <w:rPr>
                <w:rFonts w:ascii="Times New Roman" w:eastAsia="Calibri" w:hAnsi="Times New Roman" w:cs="Times New Roman"/>
                <w:sz w:val="22"/>
                <w:szCs w:val="22"/>
              </w:rPr>
              <w:lastRenderedPageBreak/>
              <w:t xml:space="preserve">nałożyć opłatę wyższą niż ta ustalona w związku z rozpatrywaniem wniosku, którym mowa powyżej. W opłacie tej uwzględnia się koszty gromadzenia, produkowania, reprodukowania, rozpowszechniania, ochrony i ustalania praw (art. 19 projektu ustawy – opłata nakładana w związku z komercyjnym wykorzystaniem ISP będących w posiadaniu muzeów), </w:t>
            </w:r>
          </w:p>
          <w:p w14:paraId="525FBD58" w14:textId="77777777" w:rsidR="008C0B78" w:rsidRPr="008C0B78" w:rsidRDefault="008C0B78" w:rsidP="008C0B78">
            <w:pPr>
              <w:numPr>
                <w:ilvl w:val="0"/>
                <w:numId w:val="3"/>
              </w:numPr>
              <w:spacing w:before="0" w:after="0" w:line="240" w:lineRule="auto"/>
              <w:ind w:left="318" w:hanging="284"/>
              <w:contextualSpacing/>
              <w:jc w:val="both"/>
              <w:rPr>
                <w:rFonts w:ascii="Times New Roman" w:eastAsia="Calibri" w:hAnsi="Times New Roman" w:cs="Times New Roman"/>
                <w:sz w:val="22"/>
                <w:szCs w:val="22"/>
              </w:rPr>
            </w:pPr>
            <w:r w:rsidRPr="008C0B78">
              <w:rPr>
                <w:rFonts w:ascii="Times New Roman" w:eastAsia="Calibri" w:hAnsi="Times New Roman" w:cs="Times New Roman"/>
                <w:sz w:val="22"/>
                <w:szCs w:val="22"/>
              </w:rPr>
              <w:t>podmiot zobowiązany, umożliwiając ponowne wykorzystywanie, w sposób stały i bezpośredni w czasie rzeczywistym, ISP gromadzonych i przechowywanych w jego systemie teleinformatycznym, może nałożyć opłatę za ponowne wykorzystywanie, uwzględniającą koszty wynikające z dostosowania systemu teleinformatycznego oraz warunków technicznych i organizacyjnych do realizacji wniosku o ponowne wykorzystywanie (art. 20 projektu ustawy – opłata nakładana w związku z realizacją wniosku o dostęp do danych w sposób stały i bezpośredni).</w:t>
            </w:r>
          </w:p>
          <w:p w14:paraId="3DEFC76A" w14:textId="77777777" w:rsidR="003D5BFD" w:rsidRPr="008A3702" w:rsidRDefault="008C0B78" w:rsidP="008C0B78">
            <w:pPr>
              <w:spacing w:before="0" w:after="0" w:line="240" w:lineRule="auto"/>
              <w:jc w:val="both"/>
              <w:rPr>
                <w:rFonts w:ascii="Times New Roman" w:eastAsiaTheme="minorHAnsi" w:hAnsi="Times New Roman" w:cs="Times New Roman"/>
                <w:sz w:val="22"/>
                <w:szCs w:val="22"/>
                <w:lang w:eastAsia="en-US"/>
              </w:rPr>
            </w:pPr>
            <w:r w:rsidRPr="008C0B78">
              <w:rPr>
                <w:rFonts w:ascii="Times New Roman" w:eastAsia="Calibri" w:hAnsi="Times New Roman" w:cs="Times New Roman"/>
                <w:sz w:val="22"/>
                <w:szCs w:val="22"/>
              </w:rPr>
              <w:t xml:space="preserve">Biorąc pod uwagę zróżnicowanie poszczególnych rodzajów opłat, jakie mogą być nakładane (przesłanek nakładania opłat) na podstawie projektowanych przepisów (obowiązujących również obecnie – ustawa z 2016 r.) projektodawca stoi na stanowisku, aby pozostawić obecną nazwę „opłaty za ponowne wykorzystywanie”. Taki sposób określenia opłat został już przyjęty w obszarze ponownego wykorzystywania ISP i nie budził jak dotąd wątpliwości interpretacyjnych. </w:t>
            </w:r>
            <w:r w:rsidRPr="008C0B78">
              <w:rPr>
                <w:rFonts w:ascii="Times New Roman" w:eastAsiaTheme="minorHAnsi" w:hAnsi="Times New Roman" w:cs="Times New Roman"/>
                <w:sz w:val="22"/>
                <w:szCs w:val="22"/>
                <w:lang w:eastAsia="en-US"/>
              </w:rPr>
              <w:t>Z treści przepisów projektowanej ustawy (oraz ustawy z 2016 r.) jasno wynika, że</w:t>
            </w:r>
            <w:r w:rsidRPr="008C0B78">
              <w:rPr>
                <w:rFonts w:eastAsiaTheme="minorHAnsi"/>
                <w:sz w:val="22"/>
                <w:szCs w:val="22"/>
                <w:lang w:eastAsia="en-US"/>
              </w:rPr>
              <w:t xml:space="preserve"> </w:t>
            </w:r>
            <w:r w:rsidRPr="008C0B78">
              <w:rPr>
                <w:rFonts w:ascii="Times New Roman" w:eastAsiaTheme="minorHAnsi" w:hAnsi="Times New Roman" w:cs="Times New Roman"/>
                <w:sz w:val="22"/>
                <w:szCs w:val="22"/>
                <w:lang w:eastAsia="en-US"/>
              </w:rPr>
              <w:t>opłata za ponowne wykorzystywanie</w:t>
            </w:r>
            <w:r w:rsidRPr="008C0B78">
              <w:rPr>
                <w:rFonts w:eastAsiaTheme="minorHAnsi"/>
                <w:sz w:val="22"/>
                <w:szCs w:val="22"/>
                <w:lang w:eastAsia="en-US"/>
              </w:rPr>
              <w:t xml:space="preserve"> </w:t>
            </w:r>
            <w:r w:rsidRPr="008C0B78">
              <w:rPr>
                <w:rFonts w:ascii="Times New Roman" w:eastAsiaTheme="minorHAnsi" w:hAnsi="Times New Roman" w:cs="Times New Roman"/>
                <w:sz w:val="22"/>
                <w:szCs w:val="22"/>
                <w:lang w:eastAsia="en-US"/>
              </w:rPr>
              <w:t xml:space="preserve">nie jest opłatą za ISP lub wykorzystywanie ISP, ale stanowi ekwiwalent </w:t>
            </w:r>
            <w:r w:rsidRPr="008C0B78">
              <w:rPr>
                <w:rFonts w:ascii="Times New Roman" w:eastAsiaTheme="minorHAnsi" w:hAnsi="Times New Roman" w:cs="Times New Roman"/>
                <w:sz w:val="22"/>
                <w:szCs w:val="22"/>
                <w:lang w:eastAsia="en-US"/>
              </w:rPr>
              <w:lastRenderedPageBreak/>
              <w:t xml:space="preserve">dodatkowych kosztów ponoszonych przez podmiot zobowiązany.  </w:t>
            </w:r>
          </w:p>
        </w:tc>
      </w:tr>
      <w:tr w:rsidR="003D5BFD" w:rsidRPr="008A3702" w14:paraId="27A3378C" w14:textId="77777777" w:rsidTr="00F73818">
        <w:tc>
          <w:tcPr>
            <w:tcW w:w="676" w:type="dxa"/>
            <w:shd w:val="clear" w:color="auto" w:fill="auto"/>
          </w:tcPr>
          <w:p w14:paraId="571F8455"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6F249967" w14:textId="77777777" w:rsidR="003D5BFD" w:rsidRPr="008A3702" w:rsidRDefault="00702855" w:rsidP="008A3702">
            <w:pPr>
              <w:spacing w:before="0" w:after="0" w:line="240" w:lineRule="auto"/>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6A1DED2A" w14:textId="77777777" w:rsidR="003D5BFD" w:rsidRPr="008A3702" w:rsidRDefault="00702855" w:rsidP="008A3702">
            <w:pPr>
              <w:spacing w:before="0" w:after="0" w:line="240" w:lineRule="auto"/>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Art. 21</w:t>
            </w:r>
          </w:p>
        </w:tc>
        <w:tc>
          <w:tcPr>
            <w:tcW w:w="5323" w:type="dxa"/>
            <w:shd w:val="clear" w:color="auto" w:fill="auto"/>
          </w:tcPr>
          <w:p w14:paraId="19206211" w14:textId="77777777" w:rsidR="00702855" w:rsidRPr="00702855"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Proponowana zmiana:</w:t>
            </w:r>
          </w:p>
          <w:p w14:paraId="0A5ED8AE" w14:textId="77777777" w:rsidR="00702855" w:rsidRPr="00702855"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 xml:space="preserve">„Art. 21. 1. Podmiot zobowiązany wskazuje, na żądanie wnioskodawcy, sposób obliczenia opłaty za ponowne wykorzystywanie w odniesieniu do złożonego przez wnioskodawcę wniosku o ponowne wykorzystywanie. </w:t>
            </w:r>
          </w:p>
          <w:p w14:paraId="73AB4F05" w14:textId="77777777" w:rsidR="00702855" w:rsidRPr="00702855"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2. Wnioskodawca może wnieść żądanie, o którym mowa w ust. 1 w dowolnej formie”.</w:t>
            </w:r>
          </w:p>
          <w:p w14:paraId="0E035B6B" w14:textId="77777777" w:rsidR="00702855" w:rsidRPr="00702855"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Uzasadnienie:</w:t>
            </w:r>
          </w:p>
          <w:p w14:paraId="31D6E13A" w14:textId="77777777" w:rsidR="003D5BFD" w:rsidRPr="008A3702"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Proponuje się doprecyzowanie formy w jakiej może zostać złożone żądanie wnioskodawcy dotyczące wskazania przez podmiot zobowiązany sposobu obliczenia opłaty za ponowne wykorzystanie.</w:t>
            </w:r>
          </w:p>
        </w:tc>
        <w:tc>
          <w:tcPr>
            <w:tcW w:w="4785" w:type="dxa"/>
            <w:shd w:val="clear" w:color="auto" w:fill="auto"/>
          </w:tcPr>
          <w:p w14:paraId="1B8B413E" w14:textId="77777777" w:rsidR="00702855" w:rsidRPr="00702855" w:rsidRDefault="00702855" w:rsidP="00702855">
            <w:pPr>
              <w:spacing w:before="0" w:after="0" w:line="259" w:lineRule="auto"/>
              <w:rPr>
                <w:rFonts w:ascii="Times New Roman" w:eastAsiaTheme="minorHAnsi" w:hAnsi="Times New Roman" w:cs="Times New Roman"/>
                <w:b/>
                <w:sz w:val="22"/>
                <w:szCs w:val="22"/>
                <w:lang w:eastAsia="en-US"/>
              </w:rPr>
            </w:pPr>
            <w:r w:rsidRPr="00702855">
              <w:rPr>
                <w:rFonts w:ascii="Times New Roman" w:eastAsiaTheme="minorHAnsi" w:hAnsi="Times New Roman" w:cs="Times New Roman"/>
                <w:b/>
                <w:sz w:val="22"/>
                <w:szCs w:val="22"/>
                <w:lang w:eastAsia="en-US"/>
              </w:rPr>
              <w:t>Uwaga nieuwzględniona</w:t>
            </w:r>
          </w:p>
          <w:p w14:paraId="4852B2D4" w14:textId="77777777" w:rsidR="003D5BFD" w:rsidRPr="008A3702" w:rsidRDefault="00702855" w:rsidP="00702855">
            <w:pPr>
              <w:spacing w:before="0" w:after="0" w:line="240" w:lineRule="auto"/>
              <w:jc w:val="both"/>
              <w:rPr>
                <w:rFonts w:ascii="Times New Roman" w:eastAsiaTheme="minorHAnsi" w:hAnsi="Times New Roman" w:cs="Times New Roman"/>
                <w:sz w:val="22"/>
                <w:szCs w:val="22"/>
                <w:lang w:eastAsia="en-US"/>
              </w:rPr>
            </w:pPr>
            <w:r w:rsidRPr="00702855">
              <w:rPr>
                <w:rFonts w:ascii="Times New Roman" w:eastAsiaTheme="minorHAnsi" w:hAnsi="Times New Roman" w:cs="Times New Roman"/>
                <w:sz w:val="22"/>
                <w:szCs w:val="22"/>
                <w:lang w:eastAsia="en-US"/>
              </w:rPr>
              <w:t>Wnioskodawca może wnieść żądanie, o którym mowa w art. 21 projektu ustawy w dowolnej postaci. Podobnie jak w przypadku wniosku o ponowne wykorzystywanie przedmiotowe żądanie może zostać złożone w postaci papierowej albo elektronicznej (jakiejkolwiek postaci elektronicznej, np. mailowo).</w:t>
            </w:r>
          </w:p>
        </w:tc>
      </w:tr>
      <w:tr w:rsidR="003D5BFD" w:rsidRPr="008A3702" w14:paraId="432BB322" w14:textId="77777777" w:rsidTr="00F73818">
        <w:tc>
          <w:tcPr>
            <w:tcW w:w="676" w:type="dxa"/>
            <w:shd w:val="clear" w:color="auto" w:fill="auto"/>
          </w:tcPr>
          <w:p w14:paraId="3B96C91B"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2ADE315" w14:textId="77777777" w:rsidR="003D5BFD" w:rsidRPr="008A3702" w:rsidRDefault="00DC0A67" w:rsidP="008A3702">
            <w:pPr>
              <w:spacing w:before="0" w:after="0" w:line="240" w:lineRule="auto"/>
              <w:rPr>
                <w:rFonts w:ascii="Times New Roman" w:eastAsiaTheme="minorHAnsi" w:hAnsi="Times New Roman" w:cs="Times New Roman"/>
                <w:sz w:val="22"/>
                <w:szCs w:val="22"/>
                <w:lang w:eastAsia="en-US"/>
              </w:rPr>
            </w:pPr>
            <w:r w:rsidRPr="00DC0A67">
              <w:rPr>
                <w:rFonts w:ascii="Times New Roman" w:eastAsiaTheme="minorHAnsi" w:hAnsi="Times New Roman" w:cs="Times New Roman"/>
                <w:sz w:val="22"/>
                <w:szCs w:val="22"/>
                <w:lang w:eastAsia="en-US"/>
              </w:rPr>
              <w:t>Polska Akademia Nauk</w:t>
            </w:r>
          </w:p>
        </w:tc>
        <w:tc>
          <w:tcPr>
            <w:tcW w:w="1526" w:type="dxa"/>
            <w:shd w:val="clear" w:color="auto" w:fill="auto"/>
          </w:tcPr>
          <w:p w14:paraId="03ED610B" w14:textId="77777777" w:rsidR="003D5BFD" w:rsidRPr="008A3702" w:rsidRDefault="00DC0A67" w:rsidP="008A3702">
            <w:pPr>
              <w:spacing w:before="0" w:after="0" w:line="240" w:lineRule="auto"/>
              <w:rPr>
                <w:rFonts w:ascii="Times New Roman" w:eastAsiaTheme="minorHAnsi" w:hAnsi="Times New Roman" w:cs="Times New Roman"/>
                <w:sz w:val="22"/>
                <w:szCs w:val="22"/>
                <w:lang w:eastAsia="en-US"/>
              </w:rPr>
            </w:pPr>
            <w:r w:rsidRPr="00DC0A67">
              <w:rPr>
                <w:rFonts w:ascii="Times New Roman" w:eastAsiaTheme="minorHAnsi" w:hAnsi="Times New Roman" w:cs="Times New Roman"/>
                <w:sz w:val="22"/>
                <w:szCs w:val="22"/>
                <w:lang w:eastAsia="en-US"/>
              </w:rPr>
              <w:t>Art. 22 ust. 1</w:t>
            </w:r>
          </w:p>
        </w:tc>
        <w:tc>
          <w:tcPr>
            <w:tcW w:w="5323" w:type="dxa"/>
            <w:shd w:val="clear" w:color="auto" w:fill="auto"/>
          </w:tcPr>
          <w:p w14:paraId="44B09041" w14:textId="77777777" w:rsidR="003D5BFD" w:rsidRPr="008A3702" w:rsidRDefault="00DC0A67" w:rsidP="008A3702">
            <w:pPr>
              <w:spacing w:before="0" w:after="0" w:line="240" w:lineRule="auto"/>
              <w:jc w:val="both"/>
              <w:rPr>
                <w:rFonts w:ascii="Times New Roman" w:eastAsiaTheme="minorHAnsi" w:hAnsi="Times New Roman" w:cs="Times New Roman"/>
                <w:sz w:val="22"/>
                <w:szCs w:val="22"/>
                <w:lang w:eastAsia="en-US"/>
              </w:rPr>
            </w:pPr>
            <w:r w:rsidRPr="00DC0A67">
              <w:rPr>
                <w:rFonts w:ascii="Times New Roman" w:eastAsiaTheme="minorHAnsi" w:hAnsi="Times New Roman" w:cs="Times New Roman"/>
                <w:sz w:val="22"/>
                <w:szCs w:val="22"/>
                <w:lang w:eastAsia="en-US"/>
              </w:rPr>
              <w:t>Ustawa odnosi się do ponownego wykorzystywania danych o ile „zostały już udostępnione w publicznie dostępnym systemie teleinformatycznym podmiotu zobowiązanego, w szczególności w repozytorium instytucjonalnym lub tematycznym”. Fakt, że takie dane muszą być udostępnione dalej do powszechnego wglądu, może mieć efekt przeciwny, tj. prowadzić do nieudostępniania tych danych w repozytoriach teleinformatycznych, a ograniczania archiwizacji do wersji papierowej.</w:t>
            </w:r>
          </w:p>
        </w:tc>
        <w:tc>
          <w:tcPr>
            <w:tcW w:w="4785" w:type="dxa"/>
            <w:shd w:val="clear" w:color="auto" w:fill="auto"/>
          </w:tcPr>
          <w:p w14:paraId="449ADC5D" w14:textId="77777777" w:rsidR="00DC0A67" w:rsidRPr="00DC0A67" w:rsidRDefault="00DC0A67" w:rsidP="00DC0A67">
            <w:pPr>
              <w:spacing w:before="0" w:after="0" w:line="240" w:lineRule="auto"/>
              <w:rPr>
                <w:rFonts w:ascii="Times New Roman" w:eastAsiaTheme="minorHAnsi" w:hAnsi="Times New Roman" w:cs="Times New Roman"/>
                <w:b/>
                <w:sz w:val="22"/>
                <w:szCs w:val="22"/>
                <w:lang w:eastAsia="en-US"/>
              </w:rPr>
            </w:pPr>
            <w:r w:rsidRPr="00DC0A67">
              <w:rPr>
                <w:rFonts w:ascii="Times New Roman" w:eastAsiaTheme="minorHAnsi" w:hAnsi="Times New Roman" w:cs="Times New Roman"/>
                <w:b/>
                <w:sz w:val="22"/>
                <w:szCs w:val="22"/>
                <w:lang w:eastAsia="en-US"/>
              </w:rPr>
              <w:t>Uwaga nieuwzględniona</w:t>
            </w:r>
          </w:p>
          <w:p w14:paraId="0404B1F5" w14:textId="77777777" w:rsidR="003D5BFD" w:rsidRPr="008A3702" w:rsidRDefault="00DC0A67" w:rsidP="00DC0A67">
            <w:pPr>
              <w:spacing w:before="0" w:after="0" w:line="240" w:lineRule="auto"/>
              <w:jc w:val="both"/>
              <w:rPr>
                <w:rFonts w:ascii="Times New Roman" w:eastAsiaTheme="minorHAnsi" w:hAnsi="Times New Roman" w:cs="Times New Roman"/>
                <w:sz w:val="22"/>
                <w:szCs w:val="22"/>
                <w:lang w:eastAsia="en-US"/>
              </w:rPr>
            </w:pPr>
            <w:r w:rsidRPr="00DC0A67">
              <w:rPr>
                <w:rFonts w:ascii="Times New Roman" w:eastAsiaTheme="minorHAnsi" w:hAnsi="Times New Roman" w:cs="Times New Roman"/>
                <w:sz w:val="22"/>
                <w:szCs w:val="22"/>
                <w:lang w:eastAsia="en-US"/>
              </w:rPr>
              <w:t>Przepis art. 22 ust. 1 projektu ustawy implementuje art. 10 ust. 2 dy</w:t>
            </w:r>
            <w:r>
              <w:rPr>
                <w:rFonts w:ascii="Times New Roman" w:eastAsiaTheme="minorHAnsi" w:hAnsi="Times New Roman" w:cs="Times New Roman"/>
                <w:sz w:val="22"/>
                <w:szCs w:val="22"/>
                <w:lang w:eastAsia="en-US"/>
              </w:rPr>
              <w:t>rektywy 2019/1024/UE, zgodnie z </w:t>
            </w:r>
            <w:r w:rsidRPr="00DC0A67">
              <w:rPr>
                <w:rFonts w:ascii="Times New Roman" w:eastAsiaTheme="minorHAnsi" w:hAnsi="Times New Roman" w:cs="Times New Roman"/>
                <w:sz w:val="22"/>
                <w:szCs w:val="22"/>
                <w:lang w:eastAsia="en-US"/>
              </w:rPr>
              <w:t>którym dane badawcze  udostępnia się  do  ponownego wykorzystywania w celach komercyjnych  lub  niekomercyjnych   w  zakresie, w  jakim  dane  te  są  finansowane ze środków  publicznych  i  zostały już  publicznie udostępnione przez naukowców,  organizacje prowadzące  badania naukowe  lub  organizacje finansujące badania naukowe  za  pośrednictwem repozytorium  instytucjonalnego lub tematycznego.</w:t>
            </w:r>
          </w:p>
        </w:tc>
      </w:tr>
      <w:tr w:rsidR="003D5BFD" w:rsidRPr="008A3702" w14:paraId="4FB8D953" w14:textId="77777777" w:rsidTr="00F73818">
        <w:tc>
          <w:tcPr>
            <w:tcW w:w="676" w:type="dxa"/>
            <w:shd w:val="clear" w:color="auto" w:fill="auto"/>
          </w:tcPr>
          <w:p w14:paraId="7E8402DA"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96E6DCB" w14:textId="77777777" w:rsidR="003D5BFD" w:rsidRPr="008A3702" w:rsidRDefault="00154DA3" w:rsidP="008A3702">
            <w:pPr>
              <w:spacing w:before="0" w:after="0" w:line="240" w:lineRule="auto"/>
              <w:rPr>
                <w:rFonts w:ascii="Times New Roman" w:eastAsiaTheme="minorHAnsi" w:hAnsi="Times New Roman" w:cs="Times New Roman"/>
                <w:sz w:val="22"/>
                <w:szCs w:val="22"/>
                <w:lang w:eastAsia="en-US"/>
              </w:rPr>
            </w:pPr>
            <w:r w:rsidRPr="00154DA3">
              <w:rPr>
                <w:rFonts w:ascii="Times New Roman" w:eastAsiaTheme="minorHAnsi" w:hAnsi="Times New Roman" w:cs="Times New Roman"/>
                <w:sz w:val="22"/>
                <w:szCs w:val="22"/>
                <w:lang w:eastAsia="en-US"/>
              </w:rPr>
              <w:t>Polska Akademia Nauk</w:t>
            </w:r>
          </w:p>
        </w:tc>
        <w:tc>
          <w:tcPr>
            <w:tcW w:w="1526" w:type="dxa"/>
            <w:shd w:val="clear" w:color="auto" w:fill="auto"/>
          </w:tcPr>
          <w:p w14:paraId="0C76BD52" w14:textId="77777777" w:rsidR="003D5BFD" w:rsidRPr="008A3702" w:rsidRDefault="00154DA3" w:rsidP="008A3702">
            <w:pPr>
              <w:spacing w:before="0" w:after="0" w:line="240" w:lineRule="auto"/>
              <w:rPr>
                <w:rFonts w:ascii="Times New Roman" w:eastAsiaTheme="minorHAnsi" w:hAnsi="Times New Roman" w:cs="Times New Roman"/>
                <w:sz w:val="22"/>
                <w:szCs w:val="22"/>
                <w:lang w:eastAsia="en-US"/>
              </w:rPr>
            </w:pPr>
            <w:r w:rsidRPr="00154DA3">
              <w:rPr>
                <w:rFonts w:ascii="Times New Roman" w:eastAsiaTheme="minorHAnsi" w:hAnsi="Times New Roman" w:cs="Times New Roman"/>
                <w:sz w:val="22"/>
                <w:szCs w:val="22"/>
                <w:lang w:eastAsia="en-US"/>
              </w:rPr>
              <w:t>Uwaga ogólna</w:t>
            </w:r>
          </w:p>
        </w:tc>
        <w:tc>
          <w:tcPr>
            <w:tcW w:w="5323" w:type="dxa"/>
            <w:shd w:val="clear" w:color="auto" w:fill="auto"/>
          </w:tcPr>
          <w:p w14:paraId="4249AB96" w14:textId="77777777" w:rsidR="003D5BFD" w:rsidRPr="008A3702" w:rsidRDefault="00154DA3" w:rsidP="008A3702">
            <w:pPr>
              <w:spacing w:before="0" w:after="0" w:line="240" w:lineRule="auto"/>
              <w:jc w:val="both"/>
              <w:rPr>
                <w:rFonts w:ascii="Times New Roman" w:eastAsiaTheme="minorHAnsi" w:hAnsi="Times New Roman" w:cs="Times New Roman"/>
                <w:sz w:val="22"/>
                <w:szCs w:val="22"/>
                <w:lang w:eastAsia="en-US"/>
              </w:rPr>
            </w:pPr>
            <w:r w:rsidRPr="00154DA3">
              <w:rPr>
                <w:rFonts w:ascii="Times New Roman" w:eastAsiaTheme="minorHAnsi" w:hAnsi="Times New Roman" w:cs="Times New Roman"/>
                <w:sz w:val="22"/>
                <w:szCs w:val="22"/>
                <w:lang w:eastAsia="en-US"/>
              </w:rPr>
              <w:t>Konieczne jest określenie w ustawie czasu przechowywania danych badawczych, które zostały wytworzone w ramach działalności naukowej.</w:t>
            </w:r>
          </w:p>
        </w:tc>
        <w:tc>
          <w:tcPr>
            <w:tcW w:w="4785" w:type="dxa"/>
            <w:shd w:val="clear" w:color="auto" w:fill="auto"/>
          </w:tcPr>
          <w:p w14:paraId="1F486732" w14:textId="77777777" w:rsidR="00154DA3" w:rsidRPr="00154DA3" w:rsidRDefault="00154DA3" w:rsidP="00154DA3">
            <w:pPr>
              <w:spacing w:before="0" w:after="0" w:line="240" w:lineRule="auto"/>
              <w:rPr>
                <w:rFonts w:ascii="Times New Roman" w:eastAsiaTheme="minorHAnsi" w:hAnsi="Times New Roman" w:cs="Times New Roman"/>
                <w:b/>
                <w:sz w:val="22"/>
                <w:szCs w:val="22"/>
                <w:lang w:eastAsia="en-US"/>
              </w:rPr>
            </w:pPr>
            <w:r w:rsidRPr="00154DA3">
              <w:rPr>
                <w:rFonts w:ascii="Times New Roman" w:eastAsiaTheme="minorHAnsi" w:hAnsi="Times New Roman" w:cs="Times New Roman"/>
                <w:b/>
                <w:sz w:val="22"/>
                <w:szCs w:val="22"/>
                <w:lang w:eastAsia="en-US"/>
              </w:rPr>
              <w:t>Uwaga nieuwzględniona.</w:t>
            </w:r>
          </w:p>
          <w:p w14:paraId="37ABAA81" w14:textId="77777777" w:rsidR="003D5BFD" w:rsidRPr="008A3702" w:rsidRDefault="00154DA3" w:rsidP="00154DA3">
            <w:pPr>
              <w:spacing w:before="0" w:after="0" w:line="240" w:lineRule="auto"/>
              <w:rPr>
                <w:rFonts w:ascii="Times New Roman" w:eastAsiaTheme="minorHAnsi" w:hAnsi="Times New Roman" w:cs="Times New Roman"/>
                <w:sz w:val="22"/>
                <w:szCs w:val="22"/>
                <w:lang w:eastAsia="en-US"/>
              </w:rPr>
            </w:pPr>
            <w:r w:rsidRPr="00154DA3">
              <w:rPr>
                <w:rFonts w:ascii="Times New Roman" w:eastAsiaTheme="minorHAnsi" w:hAnsi="Times New Roman" w:cs="Times New Roman"/>
                <w:sz w:val="22"/>
                <w:szCs w:val="22"/>
                <w:lang w:eastAsia="en-US"/>
              </w:rPr>
              <w:t>Uwaga poza zakresem projektowanej ustawy.</w:t>
            </w:r>
          </w:p>
        </w:tc>
      </w:tr>
      <w:tr w:rsidR="003D5BFD" w:rsidRPr="008A3702" w14:paraId="50DC7E46" w14:textId="77777777" w:rsidTr="00F73818">
        <w:tc>
          <w:tcPr>
            <w:tcW w:w="676" w:type="dxa"/>
            <w:shd w:val="clear" w:color="auto" w:fill="auto"/>
          </w:tcPr>
          <w:p w14:paraId="0176236B" w14:textId="77777777" w:rsidR="003D5BFD" w:rsidRPr="00E35D35" w:rsidRDefault="003D5BFD"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2C396051" w14:textId="77777777" w:rsidR="003D5BFD" w:rsidRPr="009776EC" w:rsidRDefault="009776EC" w:rsidP="008A3702">
            <w:pPr>
              <w:spacing w:before="0" w:after="0" w:line="240" w:lineRule="auto"/>
              <w:rPr>
                <w:rFonts w:ascii="Times New Roman" w:eastAsiaTheme="minorHAnsi" w:hAnsi="Times New Roman" w:cs="Times New Roman"/>
                <w:sz w:val="22"/>
                <w:szCs w:val="22"/>
                <w:lang w:eastAsia="en-US"/>
              </w:rPr>
            </w:pPr>
            <w:r w:rsidRPr="009776EC">
              <w:rPr>
                <w:rFonts w:ascii="Times New Roman" w:hAnsi="Times New Roman" w:cs="Times New Roman"/>
                <w:sz w:val="22"/>
                <w:szCs w:val="22"/>
              </w:rPr>
              <w:t>Główny Urząd Statystyczny</w:t>
            </w:r>
          </w:p>
        </w:tc>
        <w:tc>
          <w:tcPr>
            <w:tcW w:w="1526" w:type="dxa"/>
            <w:shd w:val="clear" w:color="auto" w:fill="auto"/>
          </w:tcPr>
          <w:p w14:paraId="3030CFDB" w14:textId="77777777" w:rsidR="003D5BFD" w:rsidRPr="008A3702" w:rsidRDefault="009776EC" w:rsidP="008A3702">
            <w:pPr>
              <w:spacing w:before="0" w:after="0" w:line="240" w:lineRule="auto"/>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Art. 26</w:t>
            </w:r>
          </w:p>
        </w:tc>
        <w:tc>
          <w:tcPr>
            <w:tcW w:w="5323" w:type="dxa"/>
            <w:shd w:val="clear" w:color="auto" w:fill="auto"/>
          </w:tcPr>
          <w:p w14:paraId="5BA2CE06" w14:textId="77777777" w:rsidR="009776EC" w:rsidRPr="009776EC" w:rsidRDefault="009776EC" w:rsidP="009776EC">
            <w:pPr>
              <w:spacing w:before="0" w:after="0" w:line="259"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W art. 26 projektowanej ustawy GUS proponuje w pkt 1 nadanie następującego brzmienia lit. d:</w:t>
            </w:r>
          </w:p>
          <w:p w14:paraId="0FC6ACFD" w14:textId="77777777" w:rsidR="003D5BFD" w:rsidRPr="008A3702" w:rsidRDefault="009776EC" w:rsidP="009776EC">
            <w:pPr>
              <w:spacing w:before="0" w:after="0" w:line="259"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„d) dane statystyczne, z wyłączeniem wynikowych informacji statystycznych, o których mowa w art. 26a”.</w:t>
            </w:r>
          </w:p>
        </w:tc>
        <w:tc>
          <w:tcPr>
            <w:tcW w:w="4785" w:type="dxa"/>
            <w:shd w:val="clear" w:color="auto" w:fill="auto"/>
          </w:tcPr>
          <w:p w14:paraId="53E717D0" w14:textId="77777777" w:rsidR="009776EC" w:rsidRPr="009776EC" w:rsidRDefault="009776EC" w:rsidP="009776EC">
            <w:pPr>
              <w:spacing w:before="0" w:after="0" w:line="240" w:lineRule="auto"/>
              <w:rPr>
                <w:rFonts w:ascii="Times New Roman" w:eastAsiaTheme="minorHAnsi" w:hAnsi="Times New Roman" w:cs="Times New Roman"/>
                <w:b/>
                <w:sz w:val="22"/>
                <w:szCs w:val="22"/>
                <w:lang w:eastAsia="en-US"/>
              </w:rPr>
            </w:pPr>
            <w:r w:rsidRPr="009776EC">
              <w:rPr>
                <w:rFonts w:ascii="Times New Roman" w:eastAsiaTheme="minorHAnsi" w:hAnsi="Times New Roman" w:cs="Times New Roman"/>
                <w:b/>
                <w:sz w:val="22"/>
                <w:szCs w:val="22"/>
                <w:lang w:eastAsia="en-US"/>
              </w:rPr>
              <w:t xml:space="preserve">Uwaga nieuwzględniona/wyjaśnienie </w:t>
            </w:r>
          </w:p>
          <w:p w14:paraId="281BE2E7" w14:textId="0E0D24DB" w:rsidR="003D5BFD" w:rsidRPr="008A3702" w:rsidRDefault="006C6951" w:rsidP="006C6951">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 xml:space="preserve">Przepis art. 26 projektu zostanie zmieniony. W miejsce upoważnienia dla ministra właściwego do spraw informatyzacji do wydania jednego rozporządzenia w sprawie danych o wysokiej wartości, wprowadzonych zostanie kilka </w:t>
            </w:r>
            <w:r w:rsidRPr="004E7473">
              <w:rPr>
                <w:rFonts w:ascii="Times New Roman" w:eastAsiaTheme="minorHAnsi" w:hAnsi="Times New Roman" w:cs="Times New Roman"/>
                <w:sz w:val="22"/>
                <w:szCs w:val="22"/>
                <w:lang w:eastAsia="en-US"/>
              </w:rPr>
              <w:lastRenderedPageBreak/>
              <w:t>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w:t>
            </w:r>
            <w:r>
              <w:rPr>
                <w:rFonts w:ascii="Times New Roman" w:eastAsiaTheme="minorHAnsi" w:hAnsi="Times New Roman" w:cs="Times New Roman"/>
                <w:sz w:val="22"/>
                <w:szCs w:val="22"/>
                <w:lang w:eastAsia="en-US"/>
              </w:rPr>
              <w:t>ciwego do spraw informatyzacji) z określonej kategorii tematycznej.</w:t>
            </w:r>
            <w:r w:rsidRPr="004E7473">
              <w:rPr>
                <w:rFonts w:ascii="Times New Roman" w:eastAsiaTheme="minorHAnsi" w:hAnsi="Times New Roman" w:cs="Times New Roman"/>
                <w:sz w:val="22"/>
                <w:szCs w:val="22"/>
                <w:lang w:eastAsia="en-US"/>
              </w:rPr>
              <w:t xml:space="preserve"> Wyjątek dotyczy kategorii tematycznej dane statystyczne. W tym przypadku rozporządzenie wydawać będzie minister właściwy do spraw informatyzacji po zasięgnięciu opinii Prezesa Głównego Urzędu Statycznego. Elementy rozporządzeń co do zasady pozostaną bez zmian</w:t>
            </w:r>
            <w:r>
              <w:rPr>
                <w:rFonts w:ascii="Times New Roman" w:eastAsiaTheme="minorHAnsi" w:hAnsi="Times New Roman" w:cs="Times New Roman"/>
                <w:sz w:val="22"/>
                <w:szCs w:val="22"/>
                <w:lang w:eastAsia="en-US"/>
              </w:rPr>
              <w:t>.</w:t>
            </w:r>
          </w:p>
        </w:tc>
      </w:tr>
      <w:tr w:rsidR="00154DA3" w:rsidRPr="008A3702" w14:paraId="38CA1FFE" w14:textId="77777777" w:rsidTr="00F73818">
        <w:tc>
          <w:tcPr>
            <w:tcW w:w="676" w:type="dxa"/>
            <w:shd w:val="clear" w:color="auto" w:fill="auto"/>
          </w:tcPr>
          <w:p w14:paraId="35E532C6"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34D9AC9F" w14:textId="77777777" w:rsidR="00154DA3" w:rsidRPr="009776EC" w:rsidRDefault="009776EC" w:rsidP="008A3702">
            <w:pPr>
              <w:spacing w:before="0" w:after="0" w:line="240" w:lineRule="auto"/>
              <w:rPr>
                <w:rFonts w:ascii="Times New Roman" w:eastAsiaTheme="minorHAnsi" w:hAnsi="Times New Roman" w:cs="Times New Roman"/>
                <w:sz w:val="22"/>
                <w:szCs w:val="22"/>
                <w:lang w:eastAsia="en-US"/>
              </w:rPr>
            </w:pPr>
            <w:r w:rsidRPr="009776EC">
              <w:rPr>
                <w:rFonts w:ascii="Times New Roman" w:hAnsi="Times New Roman" w:cs="Times New Roman"/>
                <w:sz w:val="22"/>
                <w:szCs w:val="22"/>
              </w:rPr>
              <w:t>Główny Urząd Statystyczny</w:t>
            </w:r>
          </w:p>
        </w:tc>
        <w:tc>
          <w:tcPr>
            <w:tcW w:w="1526" w:type="dxa"/>
            <w:shd w:val="clear" w:color="auto" w:fill="auto"/>
          </w:tcPr>
          <w:p w14:paraId="1DC02FAC" w14:textId="77777777" w:rsidR="00154DA3" w:rsidRPr="009776EC" w:rsidRDefault="009776EC" w:rsidP="008A3702">
            <w:pPr>
              <w:spacing w:before="0" w:after="0" w:line="240" w:lineRule="auto"/>
              <w:rPr>
                <w:rFonts w:ascii="Times New Roman" w:eastAsiaTheme="minorHAnsi" w:hAnsi="Times New Roman" w:cs="Times New Roman"/>
                <w:sz w:val="22"/>
                <w:szCs w:val="22"/>
                <w:lang w:eastAsia="en-US"/>
              </w:rPr>
            </w:pPr>
            <w:r w:rsidRPr="009776EC">
              <w:rPr>
                <w:rFonts w:ascii="Times New Roman" w:hAnsi="Times New Roman" w:cs="Times New Roman"/>
                <w:sz w:val="22"/>
                <w:szCs w:val="22"/>
              </w:rPr>
              <w:t>Art. 26</w:t>
            </w:r>
          </w:p>
        </w:tc>
        <w:tc>
          <w:tcPr>
            <w:tcW w:w="5323" w:type="dxa"/>
            <w:shd w:val="clear" w:color="auto" w:fill="auto"/>
          </w:tcPr>
          <w:p w14:paraId="70F1A024"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W art. 26 projektowanej ustawy GUS proponuje nadanie następującego brzmienia części wspólnej:</w:t>
            </w:r>
          </w:p>
          <w:p w14:paraId="009969F0" w14:textId="77777777" w:rsidR="009776EC" w:rsidRPr="009776EC" w:rsidRDefault="009776EC" w:rsidP="009776EC">
            <w:pPr>
              <w:spacing w:before="0" w:after="0" w:line="240" w:lineRule="auto"/>
              <w:ind w:left="317"/>
              <w:contextualSpacing/>
              <w:jc w:val="both"/>
              <w:rPr>
                <w:rFonts w:ascii="Times New Roman" w:eastAsia="Calibri" w:hAnsi="Times New Roman" w:cs="Times New Roman"/>
                <w:sz w:val="22"/>
                <w:szCs w:val="22"/>
              </w:rPr>
            </w:pPr>
            <w:r w:rsidRPr="009776EC">
              <w:rPr>
                <w:rFonts w:ascii="Times New Roman" w:eastAsia="Calibri" w:hAnsi="Times New Roman" w:cs="Times New Roman"/>
                <w:sz w:val="22"/>
                <w:szCs w:val="22"/>
              </w:rPr>
              <w:t>„– mając na względzie:</w:t>
            </w:r>
          </w:p>
          <w:p w14:paraId="1881BC2F" w14:textId="77777777" w:rsidR="009776EC" w:rsidRPr="009776EC" w:rsidRDefault="009776EC" w:rsidP="009776EC">
            <w:pPr>
              <w:numPr>
                <w:ilvl w:val="0"/>
                <w:numId w:val="4"/>
              </w:numPr>
              <w:spacing w:before="0" w:after="0" w:line="240" w:lineRule="auto"/>
              <w:ind w:left="601" w:hanging="284"/>
              <w:contextualSpacing/>
              <w:jc w:val="both"/>
              <w:rPr>
                <w:rFonts w:ascii="Times New Roman" w:eastAsia="Calibri" w:hAnsi="Times New Roman" w:cs="Times New Roman"/>
                <w:sz w:val="22"/>
                <w:szCs w:val="22"/>
              </w:rPr>
            </w:pPr>
            <w:r w:rsidRPr="009776EC">
              <w:rPr>
                <w:rFonts w:ascii="Times New Roman" w:eastAsia="Calibri" w:hAnsi="Times New Roman" w:cs="Times New Roman"/>
                <w:sz w:val="22"/>
                <w:szCs w:val="22"/>
              </w:rPr>
              <w:t xml:space="preserve">wykaz ustanowiony przez Komisję Europejską na podstawie art. 14 ust. 1 dyrektywy Parlamentu Europejskiego i Rady 2019/1024/UE z dnia 20 czerwca 2019 </w:t>
            </w:r>
            <w:r>
              <w:rPr>
                <w:rFonts w:ascii="Times New Roman" w:eastAsia="Calibri" w:hAnsi="Times New Roman" w:cs="Times New Roman"/>
                <w:sz w:val="22"/>
                <w:szCs w:val="22"/>
              </w:rPr>
              <w:t>r. w sprawie otwartych danych i </w:t>
            </w:r>
            <w:r w:rsidRPr="009776EC">
              <w:rPr>
                <w:rFonts w:ascii="Times New Roman" w:eastAsia="Calibri" w:hAnsi="Times New Roman" w:cs="Times New Roman"/>
                <w:sz w:val="22"/>
                <w:szCs w:val="22"/>
              </w:rPr>
              <w:t>ponownego wykorzystywania informacji sektora publicznego;</w:t>
            </w:r>
          </w:p>
          <w:p w14:paraId="441D200E" w14:textId="77777777" w:rsidR="009776EC" w:rsidRPr="009776EC" w:rsidRDefault="009776EC" w:rsidP="009776EC">
            <w:pPr>
              <w:numPr>
                <w:ilvl w:val="0"/>
                <w:numId w:val="4"/>
              </w:numPr>
              <w:spacing w:before="0" w:after="0" w:line="240" w:lineRule="auto"/>
              <w:ind w:left="601" w:hanging="284"/>
              <w:contextualSpacing/>
              <w:jc w:val="both"/>
              <w:rPr>
                <w:rFonts w:ascii="Times New Roman" w:eastAsia="Calibri" w:hAnsi="Times New Roman" w:cs="Times New Roman"/>
                <w:sz w:val="22"/>
                <w:szCs w:val="22"/>
              </w:rPr>
            </w:pPr>
            <w:r w:rsidRPr="009776EC">
              <w:rPr>
                <w:rFonts w:ascii="Times New Roman" w:eastAsia="Calibri" w:hAnsi="Times New Roman" w:cs="Times New Roman"/>
                <w:sz w:val="22"/>
                <w:szCs w:val="22"/>
              </w:rPr>
              <w:t>podsta</w:t>
            </w:r>
            <w:r>
              <w:rPr>
                <w:rFonts w:ascii="Times New Roman" w:eastAsia="Calibri" w:hAnsi="Times New Roman" w:cs="Times New Roman"/>
                <w:sz w:val="22"/>
                <w:szCs w:val="22"/>
              </w:rPr>
              <w:t>wowe standardy klasyfikacyjne i </w:t>
            </w:r>
            <w:r w:rsidRPr="009776EC">
              <w:rPr>
                <w:rFonts w:ascii="Times New Roman" w:eastAsia="Calibri" w:hAnsi="Times New Roman" w:cs="Times New Roman"/>
                <w:sz w:val="22"/>
                <w:szCs w:val="22"/>
              </w:rPr>
              <w:t>identyfikacyjne, w tym oznaczenia kodowe przyjęte w rejestrze terytorialnym, oraz definicje podstawowych kategorii ustalonych w rejestrach urzędowych i systemach informacyjnych administracji publicznej.”.</w:t>
            </w:r>
          </w:p>
          <w:p w14:paraId="2C639B48"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Jednocześnie po art. 26 G</w:t>
            </w:r>
            <w:r>
              <w:rPr>
                <w:rFonts w:ascii="Times New Roman" w:eastAsiaTheme="minorHAnsi" w:hAnsi="Times New Roman" w:cs="Times New Roman"/>
                <w:sz w:val="22"/>
                <w:szCs w:val="22"/>
                <w:lang w:eastAsia="en-US"/>
              </w:rPr>
              <w:t>US proponuje dodanie art. 26a w </w:t>
            </w:r>
            <w:r w:rsidRPr="009776EC">
              <w:rPr>
                <w:rFonts w:ascii="Times New Roman" w:eastAsiaTheme="minorHAnsi" w:hAnsi="Times New Roman" w:cs="Times New Roman"/>
                <w:sz w:val="22"/>
                <w:szCs w:val="22"/>
                <w:lang w:eastAsia="en-US"/>
              </w:rPr>
              <w:t>brzmieniu:</w:t>
            </w:r>
          </w:p>
          <w:p w14:paraId="0448E164"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„Art. 26a. 1. Rodzaje wynikowych informacje statystycznych z badań statystycznych objętych programem badań statysty</w:t>
            </w:r>
            <w:r>
              <w:rPr>
                <w:rFonts w:ascii="Times New Roman" w:eastAsiaTheme="minorHAnsi" w:hAnsi="Times New Roman" w:cs="Times New Roman"/>
                <w:sz w:val="22"/>
                <w:szCs w:val="22"/>
                <w:lang w:eastAsia="en-US"/>
              </w:rPr>
              <w:t xml:space="preserve">cznych statystyki publicznej, </w:t>
            </w:r>
            <w:r>
              <w:rPr>
                <w:rFonts w:ascii="Times New Roman" w:eastAsiaTheme="minorHAnsi" w:hAnsi="Times New Roman" w:cs="Times New Roman"/>
                <w:sz w:val="22"/>
                <w:szCs w:val="22"/>
                <w:lang w:eastAsia="en-US"/>
              </w:rPr>
              <w:lastRenderedPageBreak/>
              <w:t>o </w:t>
            </w:r>
            <w:r w:rsidRPr="009776EC">
              <w:rPr>
                <w:rFonts w:ascii="Times New Roman" w:eastAsiaTheme="minorHAnsi" w:hAnsi="Times New Roman" w:cs="Times New Roman"/>
                <w:sz w:val="22"/>
                <w:szCs w:val="22"/>
                <w:lang w:eastAsia="en-US"/>
              </w:rPr>
              <w:t>którym mowa w art. 1</w:t>
            </w:r>
            <w:r>
              <w:rPr>
                <w:rFonts w:ascii="Times New Roman" w:eastAsiaTheme="minorHAnsi" w:hAnsi="Times New Roman" w:cs="Times New Roman"/>
                <w:sz w:val="22"/>
                <w:szCs w:val="22"/>
                <w:lang w:eastAsia="en-US"/>
              </w:rPr>
              <w:t>8 ustawy z dnia 29 czerwca 1995 </w:t>
            </w:r>
            <w:r w:rsidRPr="009776EC">
              <w:rPr>
                <w:rFonts w:ascii="Times New Roman" w:eastAsiaTheme="minorHAnsi" w:hAnsi="Times New Roman" w:cs="Times New Roman"/>
                <w:sz w:val="22"/>
                <w:szCs w:val="22"/>
                <w:lang w:eastAsia="en-US"/>
              </w:rPr>
              <w:t>r. o statystyce publicznej,</w:t>
            </w:r>
            <w:r>
              <w:rPr>
                <w:rFonts w:ascii="Times New Roman" w:eastAsiaTheme="minorHAnsi" w:hAnsi="Times New Roman" w:cs="Times New Roman"/>
                <w:sz w:val="22"/>
                <w:szCs w:val="22"/>
                <w:lang w:eastAsia="en-US"/>
              </w:rPr>
              <w:t xml:space="preserve"> spełniających warunki danych o </w:t>
            </w:r>
            <w:r w:rsidRPr="009776EC">
              <w:rPr>
                <w:rFonts w:ascii="Times New Roman" w:eastAsiaTheme="minorHAnsi" w:hAnsi="Times New Roman" w:cs="Times New Roman"/>
                <w:sz w:val="22"/>
                <w:szCs w:val="22"/>
                <w:lang w:eastAsia="en-US"/>
              </w:rPr>
              <w:t>wysokiej wartości, określa dla każdego z tych badań program badań statystycznych statystyki publicznej.</w:t>
            </w:r>
          </w:p>
          <w:p w14:paraId="7AFB70B2"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2. Rodzaje wynikowy</w:t>
            </w:r>
            <w:r>
              <w:rPr>
                <w:rFonts w:ascii="Times New Roman" w:eastAsiaTheme="minorHAnsi" w:hAnsi="Times New Roman" w:cs="Times New Roman"/>
                <w:sz w:val="22"/>
                <w:szCs w:val="22"/>
                <w:lang w:eastAsia="en-US"/>
              </w:rPr>
              <w:t>ch informacji statystycznych, o </w:t>
            </w:r>
            <w:r w:rsidRPr="009776EC">
              <w:rPr>
                <w:rFonts w:ascii="Times New Roman" w:eastAsiaTheme="minorHAnsi" w:hAnsi="Times New Roman" w:cs="Times New Roman"/>
                <w:sz w:val="22"/>
                <w:szCs w:val="22"/>
                <w:lang w:eastAsia="en-US"/>
              </w:rPr>
              <w:t>których mowa w ust. 1,</w:t>
            </w:r>
            <w:r>
              <w:rPr>
                <w:rFonts w:ascii="Times New Roman" w:eastAsiaTheme="minorHAnsi" w:hAnsi="Times New Roman" w:cs="Times New Roman"/>
                <w:sz w:val="22"/>
                <w:szCs w:val="22"/>
                <w:lang w:eastAsia="en-US"/>
              </w:rPr>
              <w:t xml:space="preserve"> udostępniane są na zasadach, w </w:t>
            </w:r>
            <w:r w:rsidRPr="009776EC">
              <w:rPr>
                <w:rFonts w:ascii="Times New Roman" w:eastAsiaTheme="minorHAnsi" w:hAnsi="Times New Roman" w:cs="Times New Roman"/>
                <w:sz w:val="22"/>
                <w:szCs w:val="22"/>
                <w:lang w:eastAsia="en-US"/>
              </w:rPr>
              <w:t>formach i terminach określonych w programie badań statystycznych statystyki publicznej dla każdego z badań statystycznych objętych tych programem.”.</w:t>
            </w:r>
          </w:p>
          <w:p w14:paraId="1B1F65C9" w14:textId="77777777" w:rsid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Zmiany te mają na celu zapewnienie spójności art. 26 projektowanej ustawy, w odniesieniu do danych statystycznych, z corocznym programem badań statystycznych statystyki publicznej. Należy zwrócić uwagę, że zasadnicza część spośród danych statystycznych pozyskiwanych przez jednostki służb statystyki publicznej w ramach programu badań statystycznych statystyki publicznej sta</w:t>
            </w:r>
            <w:r>
              <w:rPr>
                <w:rFonts w:ascii="Times New Roman" w:eastAsiaTheme="minorHAnsi" w:hAnsi="Times New Roman" w:cs="Times New Roman"/>
                <w:sz w:val="22"/>
                <w:szCs w:val="22"/>
                <w:lang w:eastAsia="en-US"/>
              </w:rPr>
              <w:t>nowi dane o </w:t>
            </w:r>
            <w:r w:rsidRPr="009776EC">
              <w:rPr>
                <w:rFonts w:ascii="Times New Roman" w:eastAsiaTheme="minorHAnsi" w:hAnsi="Times New Roman" w:cs="Times New Roman"/>
                <w:sz w:val="22"/>
                <w:szCs w:val="22"/>
                <w:lang w:eastAsia="en-US"/>
              </w:rPr>
              <w:t>wysokiej wartości w rozumieniu projektowanej ustawy i</w:t>
            </w:r>
            <w:r>
              <w:rPr>
                <w:rFonts w:ascii="Times New Roman" w:eastAsiaTheme="minorHAnsi" w:hAnsi="Times New Roman" w:cs="Times New Roman"/>
                <w:sz w:val="22"/>
                <w:szCs w:val="22"/>
                <w:lang w:eastAsia="en-US"/>
              </w:rPr>
              <w:t> </w:t>
            </w:r>
            <w:r w:rsidRPr="009776EC">
              <w:rPr>
                <w:rFonts w:ascii="Times New Roman" w:eastAsiaTheme="minorHAnsi" w:hAnsi="Times New Roman" w:cs="Times New Roman"/>
                <w:sz w:val="22"/>
                <w:szCs w:val="22"/>
                <w:lang w:eastAsia="en-US"/>
              </w:rPr>
              <w:t>dyrektywy 2019/1024. Są to informacje sektora publicznego, których ponowne wykorzystywania wiąże się z istotnymi korzyściami dla społeczeństwa, środowiska i gospodarki. Program badań statystycznych statystyki publicznej określać będzie w szczególności rodzaje wynikowych informacji statystycznych z badań statystycznych objętych tym programem, spełniających warunki danych o wysokiej wartości w rozumieniu art. 2 pkt 4 projektowa</w:t>
            </w:r>
            <w:r>
              <w:rPr>
                <w:rFonts w:ascii="Times New Roman" w:eastAsiaTheme="minorHAnsi" w:hAnsi="Times New Roman" w:cs="Times New Roman"/>
                <w:sz w:val="22"/>
                <w:szCs w:val="22"/>
                <w:lang w:eastAsia="en-US"/>
              </w:rPr>
              <w:t>nej ustawy o otwartych danych i </w:t>
            </w:r>
            <w:r w:rsidRPr="009776EC">
              <w:rPr>
                <w:rFonts w:ascii="Times New Roman" w:eastAsiaTheme="minorHAnsi" w:hAnsi="Times New Roman" w:cs="Times New Roman"/>
                <w:sz w:val="22"/>
                <w:szCs w:val="22"/>
                <w:lang w:eastAsia="en-US"/>
              </w:rPr>
              <w:t xml:space="preserve">ponownym wykorzystywaniu informacji sektora publicznego, dla każdego z badań statystycznych objętych tym programem – temu służy zmiana proponowana w art. 18 ust. 1 ustawy o statystyce publicznej polegająca na nadaniu nowego brzmienia pkt 9 (vide poniżej). Zatem nie ma potrzeby precyzowania katalogu tych danych w drodze rozporządzenia Ministra Cyfryzacji. Wynikowe informacje statystyczne uzyskane przez jednostki służb </w:t>
            </w:r>
            <w:r w:rsidRPr="009776EC">
              <w:rPr>
                <w:rFonts w:ascii="Times New Roman" w:eastAsiaTheme="minorHAnsi" w:hAnsi="Times New Roman" w:cs="Times New Roman"/>
                <w:sz w:val="22"/>
                <w:szCs w:val="22"/>
                <w:lang w:eastAsia="en-US"/>
              </w:rPr>
              <w:lastRenderedPageBreak/>
              <w:t>statystyki publicznej w innych badaniach statystycznych, mogą być w bardzo wielu przypadkach uznane również za dane o wysokiej wartości, co powinno nastąpić w drodze rozporządzenia Ministra Cyfryzacji wydawanego na podstawie art. 26 projektowanej ustawy. Jednocześnie zasadne jest, w celu prawidłowego ustalenia katalogu tych danych, aby Prezes GUS był organem współuczestniczącym przy wydawaniu tego rozporządzenia (współuczestnictwo polegać będzie na zasięgnięciu opinii Prezesa GUS). Jednocześnie w art. 26 proponuje się rozbudowanie wytycznych dotyczących treści tego aktu o podsta</w:t>
            </w:r>
            <w:r>
              <w:rPr>
                <w:rFonts w:ascii="Times New Roman" w:eastAsiaTheme="minorHAnsi" w:hAnsi="Times New Roman" w:cs="Times New Roman"/>
                <w:sz w:val="22"/>
                <w:szCs w:val="22"/>
                <w:lang w:eastAsia="en-US"/>
              </w:rPr>
              <w:t>wowe standardy klasyfikacyjne i </w:t>
            </w:r>
            <w:r w:rsidRPr="009776EC">
              <w:rPr>
                <w:rFonts w:ascii="Times New Roman" w:eastAsiaTheme="minorHAnsi" w:hAnsi="Times New Roman" w:cs="Times New Roman"/>
                <w:sz w:val="22"/>
                <w:szCs w:val="22"/>
                <w:lang w:eastAsia="en-US"/>
              </w:rPr>
              <w:t>identyfikacyjne, w tym oznaczenia kodowe przyj</w:t>
            </w:r>
            <w:r>
              <w:rPr>
                <w:rFonts w:ascii="Times New Roman" w:eastAsiaTheme="minorHAnsi" w:hAnsi="Times New Roman" w:cs="Times New Roman"/>
                <w:sz w:val="22"/>
                <w:szCs w:val="22"/>
                <w:lang w:eastAsia="en-US"/>
              </w:rPr>
              <w:t>ęte w </w:t>
            </w:r>
            <w:r w:rsidRPr="009776EC">
              <w:rPr>
                <w:rFonts w:ascii="Times New Roman" w:eastAsiaTheme="minorHAnsi" w:hAnsi="Times New Roman" w:cs="Times New Roman"/>
                <w:sz w:val="22"/>
                <w:szCs w:val="22"/>
                <w:lang w:eastAsia="en-US"/>
              </w:rPr>
              <w:t>krajowym rejestrze urzędowym podziału terytorialnego kraju (TERYT) oraz def</w:t>
            </w:r>
            <w:r>
              <w:rPr>
                <w:rFonts w:ascii="Times New Roman" w:eastAsiaTheme="minorHAnsi" w:hAnsi="Times New Roman" w:cs="Times New Roman"/>
                <w:sz w:val="22"/>
                <w:szCs w:val="22"/>
                <w:lang w:eastAsia="en-US"/>
              </w:rPr>
              <w:t>inicje podstawowych kategorii w </w:t>
            </w:r>
            <w:r w:rsidRPr="009776EC">
              <w:rPr>
                <w:rFonts w:ascii="Times New Roman" w:eastAsiaTheme="minorHAnsi" w:hAnsi="Times New Roman" w:cs="Times New Roman"/>
                <w:sz w:val="22"/>
                <w:szCs w:val="22"/>
                <w:lang w:eastAsia="en-US"/>
              </w:rPr>
              <w:t>innych rejestrach urzędowych i systemach informacyjnych administracji publicznej.</w:t>
            </w:r>
          </w:p>
          <w:p w14:paraId="1E909315"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p>
          <w:p w14:paraId="2B6755E9"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Dodatkowe uwagi GUS zgłoszone po konferencji uzgodnieniowej (pismo z 10.12.2020 r., GUS-GP03.0201.341.2020.97).</w:t>
            </w:r>
          </w:p>
          <w:p w14:paraId="365797D9"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 xml:space="preserve">GUS proponuje modyfikację treści uwagi, zgłoszonej przy piśmie z dnia 11 września 2020 r., dotyczącej potrzeby </w:t>
            </w:r>
            <w:r w:rsidRPr="00C43604">
              <w:rPr>
                <w:rFonts w:ascii="Times New Roman" w:eastAsiaTheme="minorHAnsi" w:hAnsi="Times New Roman" w:cs="Times New Roman"/>
                <w:sz w:val="22"/>
                <w:szCs w:val="22"/>
                <w:lang w:eastAsia="en-US"/>
              </w:rPr>
              <w:t>dodania art. 26a</w:t>
            </w:r>
            <w:r w:rsidRPr="009776EC">
              <w:rPr>
                <w:rFonts w:ascii="Times New Roman" w:eastAsiaTheme="minorHAnsi" w:hAnsi="Times New Roman" w:cs="Times New Roman"/>
                <w:sz w:val="22"/>
                <w:szCs w:val="22"/>
                <w:lang w:eastAsia="en-US"/>
              </w:rPr>
              <w:t xml:space="preserve"> do projektowanej ustawy (</w:t>
            </w:r>
            <w:r w:rsidRPr="009776EC">
              <w:rPr>
                <w:rFonts w:ascii="Times New Roman" w:eastAsiaTheme="minorHAnsi" w:hAnsi="Times New Roman" w:cs="Times New Roman"/>
                <w:i/>
                <w:sz w:val="22"/>
                <w:szCs w:val="22"/>
                <w:lang w:eastAsia="en-US"/>
              </w:rPr>
              <w:t>vide</w:t>
            </w:r>
            <w:r w:rsidRPr="009776EC">
              <w:rPr>
                <w:rFonts w:ascii="Times New Roman" w:eastAsiaTheme="minorHAnsi" w:hAnsi="Times New Roman" w:cs="Times New Roman"/>
                <w:sz w:val="22"/>
                <w:szCs w:val="22"/>
                <w:lang w:eastAsia="en-US"/>
              </w:rPr>
              <w:t xml:space="preserve"> uwaga nr 124 w zestawieniu uwag). Uwzględniając ustalania dokonane na spotkaniu roboczym w dniu 4 grudnia 2020 r., przepis ten powinien otrzymać następujące brzmienie:</w:t>
            </w:r>
          </w:p>
          <w:p w14:paraId="59692F41" w14:textId="77777777" w:rsidR="009776EC" w:rsidRPr="009776EC" w:rsidRDefault="009776EC" w:rsidP="009776EC">
            <w:pPr>
              <w:spacing w:before="0" w:after="0" w:line="240" w:lineRule="auto"/>
              <w:jc w:val="both"/>
              <w:rPr>
                <w:rFonts w:ascii="Times New Roman" w:eastAsiaTheme="minorHAnsi" w:hAnsi="Times New Roman" w:cs="Times New Roman"/>
                <w:bCs/>
                <w:sz w:val="22"/>
                <w:szCs w:val="22"/>
                <w:lang w:eastAsia="en-US"/>
              </w:rPr>
            </w:pPr>
            <w:r w:rsidRPr="009776EC">
              <w:rPr>
                <w:rFonts w:ascii="Times New Roman" w:eastAsiaTheme="minorHAnsi" w:hAnsi="Times New Roman" w:cs="Times New Roman"/>
                <w:bCs/>
                <w:sz w:val="22"/>
                <w:szCs w:val="22"/>
                <w:lang w:eastAsia="en-US"/>
              </w:rPr>
              <w:t>„Art. 26a. Zakres danych o wysokiej wartości z badań statystycznych objętych programem badań statystycznych statystyki publicznej, o którym mowa w art. 18 ustawy z dnia 29 czerwca 1995 r. o statystyce publicznej wraz z:</w:t>
            </w:r>
          </w:p>
          <w:p w14:paraId="3346BF22" w14:textId="77777777" w:rsidR="009776EC" w:rsidRPr="009776EC" w:rsidRDefault="009776EC" w:rsidP="009776EC">
            <w:pPr>
              <w:numPr>
                <w:ilvl w:val="0"/>
                <w:numId w:val="5"/>
              </w:numPr>
              <w:spacing w:before="0" w:after="0" w:line="240" w:lineRule="auto"/>
              <w:ind w:left="395"/>
              <w:jc w:val="both"/>
              <w:rPr>
                <w:rFonts w:ascii="Times New Roman" w:eastAsiaTheme="minorHAnsi" w:hAnsi="Times New Roman" w:cs="Times New Roman"/>
                <w:bCs/>
                <w:sz w:val="22"/>
                <w:szCs w:val="22"/>
                <w:lang w:eastAsia="en-US"/>
              </w:rPr>
            </w:pPr>
            <w:r w:rsidRPr="009776EC">
              <w:rPr>
                <w:rFonts w:ascii="Times New Roman" w:eastAsiaTheme="minorHAnsi" w:hAnsi="Times New Roman" w:cs="Times New Roman"/>
                <w:bCs/>
                <w:sz w:val="22"/>
                <w:szCs w:val="22"/>
                <w:lang w:eastAsia="en-US"/>
              </w:rPr>
              <w:t>harmonogramem udostępniania tych danych,</w:t>
            </w:r>
          </w:p>
          <w:p w14:paraId="3C1F521E" w14:textId="77777777" w:rsidR="009776EC" w:rsidRPr="009776EC" w:rsidRDefault="009776EC" w:rsidP="009776EC">
            <w:pPr>
              <w:numPr>
                <w:ilvl w:val="0"/>
                <w:numId w:val="5"/>
              </w:numPr>
              <w:spacing w:before="0" w:after="0" w:line="240" w:lineRule="auto"/>
              <w:ind w:left="395"/>
              <w:jc w:val="both"/>
              <w:rPr>
                <w:rFonts w:ascii="Times New Roman" w:eastAsiaTheme="minorHAnsi" w:hAnsi="Times New Roman" w:cs="Times New Roman"/>
                <w:bCs/>
                <w:sz w:val="22"/>
                <w:szCs w:val="22"/>
                <w:lang w:eastAsia="en-US"/>
              </w:rPr>
            </w:pPr>
            <w:r w:rsidRPr="009776EC">
              <w:rPr>
                <w:rFonts w:ascii="Times New Roman" w:eastAsiaTheme="minorHAnsi" w:hAnsi="Times New Roman" w:cs="Times New Roman"/>
                <w:bCs/>
                <w:sz w:val="22"/>
                <w:szCs w:val="22"/>
                <w:lang w:eastAsia="en-US"/>
              </w:rPr>
              <w:t xml:space="preserve">formatem i sposobem udostępniania tych danych, </w:t>
            </w:r>
          </w:p>
          <w:p w14:paraId="189E2FC7" w14:textId="77777777" w:rsidR="009776EC" w:rsidRPr="009776EC" w:rsidRDefault="009776EC" w:rsidP="009776EC">
            <w:pPr>
              <w:numPr>
                <w:ilvl w:val="0"/>
                <w:numId w:val="5"/>
              </w:numPr>
              <w:spacing w:before="0" w:after="0" w:line="240" w:lineRule="auto"/>
              <w:ind w:left="395"/>
              <w:jc w:val="both"/>
              <w:rPr>
                <w:rFonts w:ascii="Times New Roman" w:eastAsiaTheme="minorHAnsi" w:hAnsi="Times New Roman" w:cs="Times New Roman"/>
                <w:bCs/>
                <w:sz w:val="22"/>
                <w:szCs w:val="22"/>
                <w:lang w:eastAsia="en-US"/>
              </w:rPr>
            </w:pPr>
            <w:r w:rsidRPr="009776EC">
              <w:rPr>
                <w:rFonts w:ascii="Times New Roman" w:eastAsiaTheme="minorHAnsi" w:hAnsi="Times New Roman" w:cs="Times New Roman"/>
                <w:bCs/>
                <w:sz w:val="22"/>
                <w:szCs w:val="22"/>
                <w:lang w:eastAsia="en-US"/>
              </w:rPr>
              <w:lastRenderedPageBreak/>
              <w:t xml:space="preserve">częstotliwością aktualizacji tych danych i związanych z nimi metadanych </w:t>
            </w:r>
          </w:p>
          <w:p w14:paraId="079BA7D5" w14:textId="77777777" w:rsidR="009776EC" w:rsidRPr="009776EC" w:rsidRDefault="009776EC" w:rsidP="009776EC">
            <w:pPr>
              <w:spacing w:before="0" w:after="0" w:line="240" w:lineRule="auto"/>
              <w:jc w:val="both"/>
              <w:rPr>
                <w:rFonts w:ascii="Times New Roman" w:eastAsiaTheme="minorHAnsi" w:hAnsi="Times New Roman" w:cs="Times New Roman"/>
                <w:bCs/>
                <w:sz w:val="22"/>
                <w:szCs w:val="22"/>
                <w:lang w:eastAsia="en-US"/>
              </w:rPr>
            </w:pPr>
            <w:r w:rsidRPr="009776EC">
              <w:rPr>
                <w:rFonts w:ascii="Times New Roman" w:eastAsiaTheme="minorHAnsi" w:hAnsi="Times New Roman" w:cs="Times New Roman"/>
                <w:bCs/>
                <w:sz w:val="22"/>
                <w:szCs w:val="22"/>
                <w:lang w:eastAsia="en-US"/>
              </w:rPr>
              <w:t>– określa dla każdego z tych badań program badań statystycznych statystyki publicznej.”.</w:t>
            </w:r>
          </w:p>
          <w:p w14:paraId="7982553E" w14:textId="38FF3DF9" w:rsidR="009776EC" w:rsidRPr="009776EC" w:rsidRDefault="009776EC" w:rsidP="009776EC">
            <w:pPr>
              <w:spacing w:before="0" w:after="0" w:line="240" w:lineRule="auto"/>
              <w:jc w:val="both"/>
              <w:rPr>
                <w:rFonts w:ascii="Times New Roman" w:eastAsia="Times New Roman" w:hAnsi="Times New Roman" w:cs="Times New Roman"/>
                <w:color w:val="000000"/>
                <w:sz w:val="22"/>
                <w:szCs w:val="22"/>
                <w:lang w:eastAsia="en-US"/>
              </w:rPr>
            </w:pPr>
            <w:r w:rsidRPr="009776EC">
              <w:rPr>
                <w:rFonts w:ascii="Times New Roman" w:eastAsia="Times New Roman" w:hAnsi="Times New Roman" w:cs="Times New Roman"/>
                <w:color w:val="000000"/>
                <w:sz w:val="22"/>
                <w:szCs w:val="22"/>
                <w:lang w:eastAsia="en-US"/>
              </w:rPr>
              <w:t xml:space="preserve">Przepis art. 26a projektowanej ustawy jest ściśle powiązany ze zmianą, którą GUS proponuje wprowadzić w art. 45 projektowanej ustawy </w:t>
            </w:r>
            <w:r w:rsidRPr="0070516C">
              <w:rPr>
                <w:rFonts w:ascii="Times New Roman" w:eastAsia="Times New Roman" w:hAnsi="Times New Roman" w:cs="Times New Roman"/>
                <w:color w:val="000000"/>
                <w:sz w:val="22"/>
                <w:szCs w:val="22"/>
                <w:lang w:eastAsia="en-US"/>
              </w:rPr>
              <w:t>w zakresie dotyczącym</w:t>
            </w:r>
            <w:r w:rsidRPr="009776EC">
              <w:rPr>
                <w:rFonts w:ascii="Times New Roman" w:eastAsia="Times New Roman" w:hAnsi="Times New Roman" w:cs="Times New Roman"/>
                <w:color w:val="000000"/>
                <w:sz w:val="22"/>
                <w:szCs w:val="22"/>
                <w:lang w:eastAsia="en-US"/>
              </w:rPr>
              <w:t xml:space="preserve"> dodania w art. 18 ust. 1 ustawy o statystyce publicznej pkt 10 w brzmieniu:</w:t>
            </w:r>
          </w:p>
          <w:p w14:paraId="180D1493" w14:textId="77777777" w:rsidR="009776EC" w:rsidRPr="009776EC" w:rsidRDefault="009776EC" w:rsidP="009776EC">
            <w:pPr>
              <w:spacing w:before="0" w:after="0" w:line="240" w:lineRule="auto"/>
              <w:jc w:val="both"/>
              <w:rPr>
                <w:rFonts w:ascii="Times New Roman" w:eastAsia="Times New Roman" w:hAnsi="Times New Roman" w:cs="Times New Roman"/>
                <w:bCs/>
                <w:color w:val="000000"/>
                <w:sz w:val="22"/>
                <w:szCs w:val="22"/>
                <w:lang w:eastAsia="en-US"/>
              </w:rPr>
            </w:pPr>
            <w:r w:rsidRPr="009776EC">
              <w:rPr>
                <w:rFonts w:ascii="Times New Roman" w:eastAsia="Times New Roman" w:hAnsi="Times New Roman" w:cs="Times New Roman"/>
                <w:bCs/>
                <w:color w:val="000000"/>
                <w:sz w:val="22"/>
                <w:szCs w:val="22"/>
                <w:lang w:eastAsia="en-US"/>
              </w:rPr>
              <w:t xml:space="preserve"> „10) zakres danych o wysokiej wartości, w rozumieniu art. 2 pkt 4 ustawy z dnia … 2021 r. o </w:t>
            </w:r>
            <w:r>
              <w:rPr>
                <w:rFonts w:ascii="Times New Roman" w:eastAsia="Times New Roman" w:hAnsi="Times New Roman" w:cs="Times New Roman"/>
                <w:bCs/>
                <w:color w:val="000000"/>
                <w:sz w:val="22"/>
                <w:szCs w:val="22"/>
                <w:lang w:eastAsia="en-US"/>
              </w:rPr>
              <w:t>otwartych danych i </w:t>
            </w:r>
            <w:r w:rsidRPr="009776EC">
              <w:rPr>
                <w:rFonts w:ascii="Times New Roman" w:eastAsia="Times New Roman" w:hAnsi="Times New Roman" w:cs="Times New Roman"/>
                <w:bCs/>
                <w:color w:val="000000"/>
                <w:sz w:val="22"/>
                <w:szCs w:val="22"/>
                <w:lang w:eastAsia="en-US"/>
              </w:rPr>
              <w:t>ponownym wykorzystywaniu informacji sektora publicznego wraz z:</w:t>
            </w:r>
          </w:p>
          <w:p w14:paraId="48DB185A" w14:textId="77777777" w:rsidR="009776EC" w:rsidRPr="009776EC" w:rsidRDefault="009776EC" w:rsidP="009776EC">
            <w:pPr>
              <w:numPr>
                <w:ilvl w:val="0"/>
                <w:numId w:val="6"/>
              </w:numPr>
              <w:spacing w:before="120" w:after="0" w:line="240" w:lineRule="auto"/>
              <w:ind w:left="395"/>
              <w:contextualSpacing/>
              <w:jc w:val="both"/>
              <w:rPr>
                <w:rFonts w:ascii="Times New Roman" w:eastAsia="Times New Roman" w:hAnsi="Times New Roman" w:cs="Times New Roman"/>
                <w:bCs/>
                <w:color w:val="000000"/>
                <w:sz w:val="22"/>
                <w:szCs w:val="22"/>
                <w:lang w:eastAsia="en-US"/>
              </w:rPr>
            </w:pPr>
            <w:r w:rsidRPr="009776EC">
              <w:rPr>
                <w:rFonts w:ascii="Times New Roman" w:eastAsia="Times New Roman" w:hAnsi="Times New Roman" w:cs="Times New Roman"/>
                <w:bCs/>
                <w:color w:val="000000"/>
                <w:sz w:val="22"/>
                <w:szCs w:val="22"/>
                <w:lang w:eastAsia="en-US"/>
              </w:rPr>
              <w:t xml:space="preserve">harmonogramem udostępniania tych danych, </w:t>
            </w:r>
          </w:p>
          <w:p w14:paraId="18422371" w14:textId="77777777" w:rsidR="009776EC" w:rsidRPr="009776EC" w:rsidRDefault="009776EC" w:rsidP="009776EC">
            <w:pPr>
              <w:numPr>
                <w:ilvl w:val="0"/>
                <w:numId w:val="6"/>
              </w:numPr>
              <w:spacing w:before="120" w:after="0" w:line="240" w:lineRule="auto"/>
              <w:ind w:left="395"/>
              <w:contextualSpacing/>
              <w:jc w:val="both"/>
              <w:rPr>
                <w:rFonts w:ascii="Times New Roman" w:eastAsia="Times New Roman" w:hAnsi="Times New Roman" w:cs="Times New Roman"/>
                <w:bCs/>
                <w:color w:val="000000"/>
                <w:sz w:val="22"/>
                <w:szCs w:val="22"/>
                <w:lang w:eastAsia="en-US"/>
              </w:rPr>
            </w:pPr>
            <w:r w:rsidRPr="009776EC">
              <w:rPr>
                <w:rFonts w:ascii="Times New Roman" w:eastAsia="Times New Roman" w:hAnsi="Times New Roman" w:cs="Times New Roman"/>
                <w:bCs/>
                <w:color w:val="000000"/>
                <w:sz w:val="22"/>
                <w:szCs w:val="22"/>
                <w:lang w:eastAsia="en-US"/>
              </w:rPr>
              <w:t xml:space="preserve">formatem i sposobem udostępniania tych danych, </w:t>
            </w:r>
          </w:p>
          <w:p w14:paraId="3C566B5C" w14:textId="77777777" w:rsidR="009776EC" w:rsidRPr="009776EC" w:rsidRDefault="009776EC" w:rsidP="009776EC">
            <w:pPr>
              <w:numPr>
                <w:ilvl w:val="0"/>
                <w:numId w:val="6"/>
              </w:numPr>
              <w:spacing w:before="0" w:after="0" w:line="240" w:lineRule="auto"/>
              <w:ind w:left="395" w:hanging="357"/>
              <w:jc w:val="both"/>
              <w:rPr>
                <w:rFonts w:ascii="Times New Roman" w:eastAsia="Times New Roman" w:hAnsi="Times New Roman" w:cs="Times New Roman"/>
                <w:bCs/>
                <w:color w:val="000000"/>
                <w:sz w:val="22"/>
                <w:szCs w:val="22"/>
                <w:lang w:eastAsia="en-US"/>
              </w:rPr>
            </w:pPr>
            <w:r w:rsidRPr="009776EC">
              <w:rPr>
                <w:rFonts w:ascii="Times New Roman" w:eastAsia="Times New Roman" w:hAnsi="Times New Roman" w:cs="Times New Roman"/>
                <w:bCs/>
                <w:color w:val="000000"/>
                <w:sz w:val="22"/>
                <w:szCs w:val="22"/>
                <w:lang w:eastAsia="en-US"/>
              </w:rPr>
              <w:t>częstotliwością aktualizacji tych danych i związanych z nimi metadanych”.</w:t>
            </w:r>
          </w:p>
          <w:p w14:paraId="5A6182EF" w14:textId="77777777" w:rsidR="009776EC" w:rsidRPr="009776EC"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Obydwa omawiane przepisy (art. 26a projektowanej ustawy o otwartych danych i ponownym wykorzystywaniu informacji sektora publicznego w zestawieniu z art. 18 ust. 1 pkt 10 ustawy o statystyce publicznej umożliwią osiągnięcie celu dyrektywy 2019/1024 w zakresie odnoszącym się do ponownego wykorzystywania danych o wysokiej wartości z badań statystycznych objętych programem badań statystycznych statystyki publicznej. Program ten ustalany jest corocznie przez Radę Ministrów, w drodze rozporządzenia wydawanego na podstawie art. 18 ust. 1 ustawy o statystyce publicznej.</w:t>
            </w:r>
          </w:p>
          <w:p w14:paraId="69E8F4D8" w14:textId="77777777" w:rsidR="00154DA3" w:rsidRPr="008A3702" w:rsidRDefault="009776EC" w:rsidP="009776EC">
            <w:pPr>
              <w:spacing w:before="0" w:after="0" w:line="240" w:lineRule="auto"/>
              <w:jc w:val="both"/>
              <w:rPr>
                <w:rFonts w:ascii="Times New Roman" w:eastAsiaTheme="minorHAnsi" w:hAnsi="Times New Roman" w:cs="Times New Roman"/>
                <w:sz w:val="22"/>
                <w:szCs w:val="22"/>
                <w:lang w:eastAsia="en-US"/>
              </w:rPr>
            </w:pPr>
            <w:r w:rsidRPr="009776EC">
              <w:rPr>
                <w:rFonts w:ascii="Times New Roman" w:eastAsiaTheme="minorHAnsi" w:hAnsi="Times New Roman" w:cs="Times New Roman"/>
                <w:sz w:val="22"/>
                <w:szCs w:val="22"/>
                <w:lang w:eastAsia="en-US"/>
              </w:rPr>
              <w:t xml:space="preserve">Należy zwrócić uwagę, że zasadnicza część spośród danych statystycznych pozyskiwanych przez jednostki służb statystyki publicznej w ramach programu badań statystycznych statystyki publicznej stanowi dane o wysokiej wartości w rozumieniu projektowanej ustawy i dyrektywy 2019/1024. Są to informacje sektora </w:t>
            </w:r>
            <w:r w:rsidRPr="009776EC">
              <w:rPr>
                <w:rFonts w:ascii="Times New Roman" w:eastAsiaTheme="minorHAnsi" w:hAnsi="Times New Roman" w:cs="Times New Roman"/>
                <w:sz w:val="22"/>
                <w:szCs w:val="22"/>
                <w:lang w:eastAsia="en-US"/>
              </w:rPr>
              <w:lastRenderedPageBreak/>
              <w:t>publicznego, których ponowne wykorzystywania wiąże się z istotnymi korzyściami dla społeczeństwa, środowiska i gospodarki. Program badań statystycznych statystyki publicznej, po wejściu w życie projektowanej ustawy, określać będzie w szczególności zakres danych o wysokiej wartości, w rozumieniu art. 2 pkt 4 projektowanej ustawy o otwartych danych i ponownym wykorzystywaniu informacji sektora publicznego wraz z harmonogramem udostępniania tych danych, formatem i sposobem ich udostępniania, a także częstotliwością aktualizacji tych danych i związanych z nimi metadanych.</w:t>
            </w:r>
          </w:p>
        </w:tc>
        <w:tc>
          <w:tcPr>
            <w:tcW w:w="4785" w:type="dxa"/>
            <w:shd w:val="clear" w:color="auto" w:fill="auto"/>
          </w:tcPr>
          <w:p w14:paraId="2906037F" w14:textId="77777777" w:rsidR="009776EC" w:rsidRPr="009776EC" w:rsidRDefault="009776EC" w:rsidP="009776EC">
            <w:pPr>
              <w:spacing w:before="0" w:after="0" w:line="240" w:lineRule="auto"/>
              <w:rPr>
                <w:rFonts w:ascii="Times New Roman" w:eastAsiaTheme="minorHAnsi" w:hAnsi="Times New Roman" w:cs="Times New Roman"/>
                <w:b/>
                <w:sz w:val="22"/>
                <w:szCs w:val="22"/>
                <w:lang w:eastAsia="en-US"/>
              </w:rPr>
            </w:pPr>
            <w:r w:rsidRPr="009776EC">
              <w:rPr>
                <w:rFonts w:ascii="Times New Roman" w:eastAsiaTheme="minorHAnsi" w:hAnsi="Times New Roman" w:cs="Times New Roman"/>
                <w:b/>
                <w:sz w:val="22"/>
                <w:szCs w:val="22"/>
                <w:lang w:eastAsia="en-US"/>
              </w:rPr>
              <w:lastRenderedPageBreak/>
              <w:t xml:space="preserve">Uwaga nieuwzględniona/wyjaśnienie </w:t>
            </w:r>
          </w:p>
          <w:p w14:paraId="528B9357" w14:textId="53EA425C" w:rsidR="006C6951" w:rsidRDefault="006C6951" w:rsidP="005E14A1">
            <w:pPr>
              <w:spacing w:before="0" w:after="0" w:line="240" w:lineRule="auto"/>
              <w:jc w:val="both"/>
              <w:rPr>
                <w:rFonts w:ascii="Times New Roman" w:eastAsiaTheme="minorHAnsi" w:hAnsi="Times New Roman" w:cs="Times New Roman"/>
                <w:sz w:val="22"/>
                <w:szCs w:val="22"/>
                <w:lang w:eastAsia="en-US"/>
              </w:rPr>
            </w:pPr>
            <w:r w:rsidRPr="004E7473">
              <w:rPr>
                <w:rFonts w:ascii="Times New Roman" w:eastAsiaTheme="minorHAnsi" w:hAnsi="Times New Roman" w:cs="Times New Roman"/>
                <w:sz w:val="22"/>
                <w:szCs w:val="22"/>
                <w:lang w:eastAsia="en-US"/>
              </w:rPr>
              <w:t>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w:t>
            </w:r>
            <w:r>
              <w:rPr>
                <w:rFonts w:ascii="Times New Roman" w:eastAsiaTheme="minorHAnsi" w:hAnsi="Times New Roman" w:cs="Times New Roman"/>
                <w:sz w:val="22"/>
                <w:szCs w:val="22"/>
                <w:lang w:eastAsia="en-US"/>
              </w:rPr>
              <w:t>ciwego do spraw informatyzacji) z określonej kategorii tematycznej.</w:t>
            </w:r>
            <w:r w:rsidRPr="004E7473">
              <w:rPr>
                <w:rFonts w:ascii="Times New Roman" w:eastAsiaTheme="minorHAnsi" w:hAnsi="Times New Roman" w:cs="Times New Roman"/>
                <w:sz w:val="22"/>
                <w:szCs w:val="22"/>
                <w:lang w:eastAsia="en-US"/>
              </w:rPr>
              <w:t xml:space="preserve"> Wyjątek dotyczy kategorii tematycznej dane statystyczne. W tym przypadku rozporządzenie wydawać będzie minister właściwy do spraw informatyzacji po zasięgnięciu opinii </w:t>
            </w:r>
            <w:r w:rsidRPr="004E7473">
              <w:rPr>
                <w:rFonts w:ascii="Times New Roman" w:eastAsiaTheme="minorHAnsi" w:hAnsi="Times New Roman" w:cs="Times New Roman"/>
                <w:sz w:val="22"/>
                <w:szCs w:val="22"/>
                <w:lang w:eastAsia="en-US"/>
              </w:rPr>
              <w:lastRenderedPageBreak/>
              <w:t>Prezesa Głównego Urzędu Statycznego. Elementy rozporządzeń co do zasady pozostaną bez zmian</w:t>
            </w:r>
          </w:p>
          <w:p w14:paraId="12E02EB9" w14:textId="77777777" w:rsidR="005E14A1" w:rsidRPr="005E14A1" w:rsidRDefault="005E14A1" w:rsidP="005E14A1">
            <w:pPr>
              <w:spacing w:before="0" w:after="0" w:line="240" w:lineRule="auto"/>
              <w:jc w:val="both"/>
              <w:rPr>
                <w:rFonts w:ascii="Times New Roman" w:eastAsiaTheme="minorHAnsi" w:hAnsi="Times New Roman" w:cs="Times New Roman"/>
                <w:sz w:val="22"/>
                <w:szCs w:val="22"/>
                <w:lang w:eastAsia="en-US"/>
              </w:rPr>
            </w:pPr>
            <w:r w:rsidRPr="005E14A1">
              <w:rPr>
                <w:rFonts w:ascii="Times New Roman" w:eastAsiaTheme="minorHAnsi" w:hAnsi="Times New Roman" w:cs="Times New Roman"/>
                <w:sz w:val="22"/>
                <w:szCs w:val="22"/>
                <w:lang w:eastAsia="en-US"/>
              </w:rPr>
              <w:t>W przypadku kategorii tematycznej dane statystyczne minister właściwy do spraw informatyzacji po zasięgnięciu opinii Prezesa Głównego Urzędu Statystycznego określi, w drodze rozporządzenia:</w:t>
            </w:r>
          </w:p>
          <w:p w14:paraId="3D6D1B31" w14:textId="0BAE2FC2"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 xml:space="preserve">listę będących w posiadaniu </w:t>
            </w:r>
            <w:r w:rsidR="006C6951">
              <w:rPr>
                <w:rFonts w:ascii="Times New Roman" w:eastAsia="Calibri" w:hAnsi="Times New Roman" w:cs="Times New Roman"/>
                <w:bCs/>
                <w:sz w:val="22"/>
                <w:szCs w:val="22"/>
              </w:rPr>
              <w:t>podmiot zobowiązany</w:t>
            </w:r>
            <w:r w:rsidRPr="005E14A1">
              <w:rPr>
                <w:rFonts w:ascii="Times New Roman" w:eastAsia="Calibri" w:hAnsi="Times New Roman" w:cs="Times New Roman"/>
                <w:bCs/>
                <w:sz w:val="22"/>
                <w:szCs w:val="22"/>
              </w:rPr>
              <w:t xml:space="preserve"> danych o wysokiej wartości spośród kategorii tematycznej: dane statystyczne,</w:t>
            </w:r>
          </w:p>
          <w:p w14:paraId="1DB8F22E" w14:textId="346AD548"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harmonogram udostępniania przez na portalu danych:</w:t>
            </w:r>
          </w:p>
          <w:p w14:paraId="5B2F9E35" w14:textId="77777777" w:rsidR="005E14A1" w:rsidRPr="005E14A1" w:rsidRDefault="005E14A1" w:rsidP="005E14A1">
            <w:pPr>
              <w:numPr>
                <w:ilvl w:val="0"/>
                <w:numId w:val="8"/>
              </w:numPr>
              <w:spacing w:before="0" w:after="0" w:line="240" w:lineRule="auto"/>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danych, o których mowa w pkt 1, oraz metadanych albo</w:t>
            </w:r>
          </w:p>
          <w:p w14:paraId="4CD54CBE" w14:textId="77777777" w:rsidR="005E14A1" w:rsidRPr="005E14A1" w:rsidRDefault="005E14A1" w:rsidP="005E14A1">
            <w:pPr>
              <w:numPr>
                <w:ilvl w:val="0"/>
                <w:numId w:val="8"/>
              </w:numPr>
              <w:spacing w:before="0" w:after="0" w:line="240" w:lineRule="auto"/>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metadanych, w przypadku gdy dane, o których mowa w pkt 1, przechowywane są w publicznie dostępnym systemie teleinformatycznym podmiotu zobowiązanego i udostępniane w celu ich ponownego wykorzystywania w sposób, o którym mowa w art. 25 ust. 1 projektu ustawy,</w:t>
            </w:r>
          </w:p>
          <w:p w14:paraId="2DEDE7AC" w14:textId="54C9E12F"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 xml:space="preserve">sposób udostępniania, o którym mowa w pkt 2, mając na względzie posiadaną przez </w:t>
            </w:r>
            <w:r w:rsidR="006C6951">
              <w:rPr>
                <w:rFonts w:ascii="Times New Roman" w:eastAsia="Calibri" w:hAnsi="Times New Roman" w:cs="Times New Roman"/>
                <w:bCs/>
                <w:sz w:val="22"/>
                <w:szCs w:val="22"/>
              </w:rPr>
              <w:t>podmiot zobowiązany</w:t>
            </w:r>
            <w:r w:rsidRPr="005E14A1">
              <w:rPr>
                <w:rFonts w:ascii="Times New Roman" w:eastAsia="Calibri" w:hAnsi="Times New Roman" w:cs="Times New Roman"/>
                <w:bCs/>
                <w:sz w:val="22"/>
                <w:szCs w:val="22"/>
              </w:rPr>
              <w:t xml:space="preserve"> infrastrukturę teleinformatyczną umożliwiającą gromadzenie w niej danych o wysokiej wartości oraz ich udostępnianie w celu ponownego wykorzystywania, a także możliwości techniczne przechowywania tych danych na portalu danych,</w:t>
            </w:r>
          </w:p>
          <w:p w14:paraId="1ADD7260" w14:textId="77777777"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format danych, o których mowa w pkt 2,</w:t>
            </w:r>
          </w:p>
          <w:p w14:paraId="3C798BE4" w14:textId="77777777"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t>możliwe warunki ponownego wykorzystywania, o których mowa w rozdziale 3 projektu ustawy,</w:t>
            </w:r>
          </w:p>
          <w:p w14:paraId="1DF87A74" w14:textId="77777777" w:rsidR="005E14A1" w:rsidRPr="005E14A1" w:rsidRDefault="005E14A1" w:rsidP="005E14A1">
            <w:pPr>
              <w:numPr>
                <w:ilvl w:val="0"/>
                <w:numId w:val="7"/>
              </w:numPr>
              <w:spacing w:before="0" w:after="0" w:line="240" w:lineRule="auto"/>
              <w:ind w:left="317" w:hanging="284"/>
              <w:contextualSpacing/>
              <w:jc w:val="both"/>
              <w:rPr>
                <w:rFonts w:ascii="Times New Roman" w:eastAsia="Calibri" w:hAnsi="Times New Roman" w:cs="Times New Roman"/>
                <w:bCs/>
                <w:sz w:val="22"/>
                <w:szCs w:val="22"/>
              </w:rPr>
            </w:pPr>
            <w:r w:rsidRPr="005E14A1">
              <w:rPr>
                <w:rFonts w:ascii="Times New Roman" w:eastAsia="Calibri" w:hAnsi="Times New Roman" w:cs="Times New Roman"/>
                <w:bCs/>
                <w:sz w:val="22"/>
                <w:szCs w:val="22"/>
              </w:rPr>
              <w:lastRenderedPageBreak/>
              <w:t>częstotliwość aktualizacji danych oraz metadanych, o których mowa w pkt 2, mając na względzie konieczność zagwarantowania ich aktualności.</w:t>
            </w:r>
          </w:p>
          <w:p w14:paraId="607E78B3" w14:textId="77777777" w:rsidR="005E14A1" w:rsidRPr="005E14A1" w:rsidRDefault="005E14A1" w:rsidP="005E14A1">
            <w:pPr>
              <w:spacing w:before="0" w:after="160" w:line="259" w:lineRule="auto"/>
              <w:jc w:val="both"/>
              <w:rPr>
                <w:rFonts w:ascii="Times New Roman" w:eastAsiaTheme="minorHAnsi" w:hAnsi="Times New Roman" w:cs="Times New Roman"/>
                <w:sz w:val="22"/>
                <w:szCs w:val="22"/>
                <w:lang w:eastAsia="en-US"/>
              </w:rPr>
            </w:pPr>
            <w:r w:rsidRPr="005E14A1">
              <w:rPr>
                <w:rFonts w:ascii="Times New Roman" w:eastAsiaTheme="minorHAnsi" w:hAnsi="Times New Roman" w:cs="Times New Roman"/>
                <w:bCs/>
                <w:sz w:val="22"/>
                <w:szCs w:val="22"/>
                <w:lang w:eastAsia="en-US"/>
              </w:rPr>
              <w:t>Z uwzględnieniem wykazu ustanowionego przez Komisję Europejską na podstawie art. 14 ust. 1 dyrektywy 2019/1024/UE.</w:t>
            </w:r>
          </w:p>
          <w:p w14:paraId="6EE94C95" w14:textId="77777777" w:rsidR="009776EC" w:rsidRPr="009776EC" w:rsidRDefault="009776EC" w:rsidP="009776EC">
            <w:pPr>
              <w:spacing w:before="0" w:after="160" w:line="259" w:lineRule="auto"/>
              <w:rPr>
                <w:rFonts w:ascii="Times New Roman" w:eastAsiaTheme="minorHAnsi" w:hAnsi="Times New Roman" w:cs="Times New Roman"/>
                <w:sz w:val="22"/>
                <w:szCs w:val="22"/>
                <w:lang w:eastAsia="en-US"/>
              </w:rPr>
            </w:pPr>
          </w:p>
          <w:p w14:paraId="072BDD01" w14:textId="77777777" w:rsidR="00154DA3" w:rsidRPr="008A3702" w:rsidRDefault="00154DA3" w:rsidP="008A3702">
            <w:pPr>
              <w:spacing w:before="0" w:after="0" w:line="240" w:lineRule="auto"/>
              <w:rPr>
                <w:rFonts w:ascii="Times New Roman" w:eastAsiaTheme="minorHAnsi" w:hAnsi="Times New Roman" w:cs="Times New Roman"/>
                <w:sz w:val="22"/>
                <w:szCs w:val="22"/>
                <w:lang w:eastAsia="en-US"/>
              </w:rPr>
            </w:pPr>
          </w:p>
        </w:tc>
      </w:tr>
      <w:tr w:rsidR="00154DA3" w:rsidRPr="008A3702" w14:paraId="5C0866E1" w14:textId="77777777" w:rsidTr="00F73818">
        <w:tc>
          <w:tcPr>
            <w:tcW w:w="676" w:type="dxa"/>
            <w:shd w:val="clear" w:color="auto" w:fill="auto"/>
          </w:tcPr>
          <w:p w14:paraId="3D3A28B1"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7B37EAD5" w14:textId="77777777" w:rsidR="00154DA3" w:rsidRPr="008A3702" w:rsidRDefault="00855FC2" w:rsidP="008A3702">
            <w:pPr>
              <w:spacing w:before="0" w:after="0" w:line="240" w:lineRule="auto"/>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Kancelaria Prezydenta RP</w:t>
            </w:r>
          </w:p>
        </w:tc>
        <w:tc>
          <w:tcPr>
            <w:tcW w:w="1526" w:type="dxa"/>
            <w:shd w:val="clear" w:color="auto" w:fill="auto"/>
          </w:tcPr>
          <w:p w14:paraId="2B38FA19" w14:textId="77777777" w:rsidR="00154DA3" w:rsidRPr="008A3702" w:rsidRDefault="00855FC2" w:rsidP="008A3702">
            <w:pPr>
              <w:spacing w:before="0" w:after="0" w:line="240" w:lineRule="auto"/>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Art. 29 ust. 2</w:t>
            </w:r>
          </w:p>
        </w:tc>
        <w:tc>
          <w:tcPr>
            <w:tcW w:w="5323" w:type="dxa"/>
            <w:shd w:val="clear" w:color="auto" w:fill="auto"/>
          </w:tcPr>
          <w:p w14:paraId="43DF495A" w14:textId="77777777" w:rsidR="00855FC2" w:rsidRPr="00855FC2" w:rsidRDefault="00855FC2" w:rsidP="00855FC2">
            <w:pPr>
              <w:spacing w:before="0" w:after="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 xml:space="preserve">W art. 29 ust. 2 projektu ustawy nałożono na podmioty zobowiązane, w tym Kancelarię Prezydenta RP, obowiązek udostępniania informacji sektora publicznego o szczególnym znaczeniu dla rozwoju innowacyjności w państwie i rozwoju społeczeństwa informacyjnego na Portalu Otwartych Danych. Zauważyć należy, że odpowiednikiem Portalu Otwartych Danych jest obecnie Centralne Repozytorium Informacji Publicznej, uregulowane w art. 9a-9e u.d.i.p. Z obowiązku publikacji informacji w CRIP wyłączono zaś szereg podmiotów, aktualnie objętych nowym obowiązkiem. Dodatkowo, w pkt 4 Oceny Skutków Regulacji wśród podmiotów, na które oddziałuje projekt, wskazano jedynie organy administracji rządowej (w tym jednostki podległe lub nadzorowane) oraz jednostki samorządu terytorialnego. Tym samym, pomija się całokształt jednostek sektora finansów publicznych w rozumieniu przepisów ustawy z dnia 27 sierpnia 2009 r. o finansach publicznych, będących podmiotami zobowiązanymi na gruncie art. 3 pkt 1 projektu ustawy, jak również inne państwowe jednostki organizacyjne bez osobowości prawnej, podmioty prawa publicznego oraz ich związki, tj. </w:t>
            </w:r>
            <w:r w:rsidRPr="00855FC2">
              <w:rPr>
                <w:rFonts w:ascii="Times New Roman" w:eastAsiaTheme="minorHAnsi" w:hAnsi="Times New Roman" w:cs="Times New Roman"/>
                <w:sz w:val="22"/>
                <w:szCs w:val="22"/>
                <w:lang w:eastAsia="en-US"/>
              </w:rPr>
              <w:lastRenderedPageBreak/>
              <w:t xml:space="preserve">podmioty wskazane w art. 3 pkt 2-4 projektu ustawy. Z tych względów, rekomenduje się ponowne rozważenie kręgu podmiotów, zobowiązanych do obligatoryjnego udostępniania na portalu otwartych danych posiadanych informacji sektora publicznego oraz metadanych opisujących ich strukturę. Do tej pory, zobowiązane były jedynie podmioty, wskazane w dotychczasowym art. 9a ust. 2 u.d.i.p. (organy administracji rządowej, fundusze celowe, ZUS, KRUS, NFZ, państwowe osoby prawne utworzone na podstawie odrębnych ustaw w celu wykonywania zadań publicznych, z wyjątkiem podmiotów, o których mowa w art. 7 ust. 1 ustawy z dnia 20 lipca 2018 r. - Prawo o szkolnictwie wyższym i nauce). Ewentualne rozszerzenie katalogu podmiotów zobowiązanych powinno zostać poprzedzone szczegółową analizą wskazującą, które podmioty posiadają informacje o szczególnym walorze, opisanym w art. 29 ust. 1 projektu ustawy. W przeciwnym razie, organy sektora publicznego zostaną obciążone szeregiem nowych obowiązków, nieproporcjonalnych do spodziewanych korzyści. </w:t>
            </w:r>
          </w:p>
          <w:p w14:paraId="680DEB58" w14:textId="77777777" w:rsidR="00855FC2" w:rsidRPr="00855FC2" w:rsidRDefault="00855FC2" w:rsidP="00855FC2">
            <w:pPr>
              <w:spacing w:before="0" w:after="16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Zauważyć również należy, że ponowne wykorzystywanie informacji ma charakter gospodarczy i użytkowy, gdyż jest nim takie użycie danych publicznych, którego celem jest wytworzenie produktów, usług lub dóbr o wartości dodanej. Nie wszystkie informacje sektora publicznego mogą zaś stanowić materiał adekwatny do tego celu.  Tego typu informacji, tj. informacji adekwatnych do ww. celu, nie wytwarza, ze względu na przypisane jej kompetencje i zadania, Kancelaria Prezydenta Rzeczypospolitej Polskiej. W związku z tym, wnoszę o wyłączenie Kancelarii Prezydenta spod zakresu normy określonej w art. 29 ust. 2 projektu ustawy.</w:t>
            </w:r>
          </w:p>
          <w:p w14:paraId="790A6D27" w14:textId="77777777" w:rsidR="00855FC2" w:rsidRPr="00855FC2" w:rsidRDefault="00855FC2" w:rsidP="00855FC2">
            <w:pPr>
              <w:spacing w:before="0" w:after="16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lastRenderedPageBreak/>
              <w:t xml:space="preserve">Dodatkowe uwagi Kancelarii Prezydenta zgłoszone po konferencji uzgodnieniowej (pismo z 04.12.2020 r., BPU.142.35.2020.2). </w:t>
            </w:r>
          </w:p>
          <w:p w14:paraId="200A575F" w14:textId="77777777" w:rsidR="00154DA3" w:rsidRPr="008A3702" w:rsidRDefault="00855FC2" w:rsidP="00855FC2">
            <w:pPr>
              <w:spacing w:before="0" w:after="0" w:line="240"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W odniesieniu do ustaleń konferencji uzgodnieniowej dotyczącej projektu ustawy o otwartych danych i ponownym wykorzystywaniu informacji sektora publicznego (UC47), która odbyła się w dniach 26-27 listopada i 1 grudnia 2020 r., uprzejmie informuję o podtrzymaniu, tylko częściowo uwzględnionej, uwagi w zakresie art. 29 ust. 2 projektu ustawy o otwartych danych i ponownym wykorzystywaniu informacji sektora publicznego. Przepis ten nakłada na podmioty zobowiązane, w tym Kancelarii Prezydenta RP obowiązek udostępniania informacji sektora publicznego o szczególnym znaczeniu dla rozwoju innowacyjności w państwie i rozwoju społeczeństwa informacyjnego na Portalu Otwartych Danych. Takie rozszerzenie katalogu podmiotów zobowiązanych powinno zostać poprzedzone szczegółową analizą wskazującą, które podmioty posiadają informacje o tak szczególnym walorze, opisanym w art. 29 ust. 1 ww. projektu ustawy. Wobec tego, ze Kancelaria Prezydenta RP nie wytwarza informacji sektora publicznego o szczególnym znaczeniu dla rozwoju innowacyjności w państwie, ponownie wnoszę o wyłączenie jej spod zakresu normy określonej w art. 29 ust. 2 ww. projektu ustawy.</w:t>
            </w:r>
          </w:p>
        </w:tc>
        <w:tc>
          <w:tcPr>
            <w:tcW w:w="4785" w:type="dxa"/>
            <w:shd w:val="clear" w:color="auto" w:fill="auto"/>
          </w:tcPr>
          <w:p w14:paraId="47C6A80F" w14:textId="77777777" w:rsidR="00855FC2" w:rsidRPr="00855FC2" w:rsidRDefault="00855FC2" w:rsidP="00855FC2">
            <w:pPr>
              <w:spacing w:before="0" w:after="0" w:line="259" w:lineRule="auto"/>
              <w:rPr>
                <w:rFonts w:ascii="Times New Roman" w:eastAsiaTheme="minorHAnsi" w:hAnsi="Times New Roman" w:cs="Times New Roman"/>
                <w:b/>
                <w:sz w:val="22"/>
                <w:szCs w:val="22"/>
                <w:lang w:eastAsia="en-US"/>
              </w:rPr>
            </w:pPr>
            <w:r w:rsidRPr="00855FC2">
              <w:rPr>
                <w:rFonts w:ascii="Times New Roman" w:eastAsiaTheme="minorHAnsi" w:hAnsi="Times New Roman" w:cs="Times New Roman"/>
                <w:b/>
                <w:sz w:val="22"/>
                <w:szCs w:val="22"/>
                <w:lang w:eastAsia="en-US"/>
              </w:rPr>
              <w:lastRenderedPageBreak/>
              <w:t xml:space="preserve">Uwaga uwzględniona częściowo </w:t>
            </w:r>
          </w:p>
          <w:p w14:paraId="0BCFF419" w14:textId="2739751D" w:rsidR="00855FC2" w:rsidRPr="00855FC2" w:rsidRDefault="00855FC2" w:rsidP="00855FC2">
            <w:pPr>
              <w:spacing w:before="0" w:after="16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1. Uwaga uwzględniona w zakresie dokonania  zmian w pkt 4 OSR (podmioty, na które oddziałuje projekt).</w:t>
            </w:r>
          </w:p>
          <w:p w14:paraId="43D42937" w14:textId="77777777" w:rsidR="00855FC2" w:rsidRPr="00855FC2" w:rsidRDefault="00855FC2" w:rsidP="00855FC2">
            <w:pPr>
              <w:spacing w:before="0" w:after="16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2. Uwaga nieuwzględniona w zakresie „wyłączenie Kancelarii Prezydenta spod zakresu normy określonej w art. 29 ust. 2 projektu ustawy”.</w:t>
            </w:r>
          </w:p>
          <w:p w14:paraId="3D3DFD6B" w14:textId="77777777" w:rsidR="00855FC2" w:rsidRPr="00855FC2" w:rsidRDefault="00855FC2" w:rsidP="00855FC2">
            <w:pPr>
              <w:spacing w:before="0" w:after="160" w:line="259" w:lineRule="auto"/>
              <w:jc w:val="both"/>
              <w:rPr>
                <w:rFonts w:ascii="Times New Roman" w:eastAsiaTheme="minorHAnsi" w:hAnsi="Times New Roman" w:cs="Times New Roman"/>
                <w:sz w:val="22"/>
                <w:szCs w:val="22"/>
                <w:lang w:eastAsia="en-US"/>
              </w:rPr>
            </w:pPr>
            <w:r w:rsidRPr="00855FC2">
              <w:rPr>
                <w:rFonts w:ascii="Times New Roman" w:eastAsiaTheme="minorHAnsi" w:hAnsi="Times New Roman" w:cs="Times New Roman"/>
                <w:sz w:val="22"/>
                <w:szCs w:val="22"/>
                <w:lang w:eastAsia="en-US"/>
              </w:rPr>
              <w:t>Dysponent danych samodzielnie ocenia czy będące w jego posiadaniu ISP mają ma szczególne znaczenie dla rozwoju innowacyjności w państwie i rozwoju społeczeństwa informacyjnego. Jeśli podmiot zobowiązany nie posiada ISP spełniających warunki, o których mowa w przepisie, nie udostępnia ich na portalu danych.</w:t>
            </w:r>
          </w:p>
          <w:p w14:paraId="0E2FD4EE" w14:textId="77777777" w:rsidR="00154DA3" w:rsidRPr="008A3702" w:rsidRDefault="00154DA3" w:rsidP="008A3702">
            <w:pPr>
              <w:spacing w:before="0" w:after="0" w:line="240" w:lineRule="auto"/>
              <w:rPr>
                <w:rFonts w:ascii="Times New Roman" w:eastAsiaTheme="minorHAnsi" w:hAnsi="Times New Roman" w:cs="Times New Roman"/>
                <w:sz w:val="22"/>
                <w:szCs w:val="22"/>
                <w:lang w:eastAsia="en-US"/>
              </w:rPr>
            </w:pPr>
          </w:p>
        </w:tc>
      </w:tr>
      <w:tr w:rsidR="00154DA3" w:rsidRPr="008A3702" w14:paraId="72D1B7E8" w14:textId="77777777" w:rsidTr="00850390">
        <w:trPr>
          <w:trHeight w:val="3596"/>
        </w:trPr>
        <w:tc>
          <w:tcPr>
            <w:tcW w:w="676" w:type="dxa"/>
            <w:shd w:val="clear" w:color="auto" w:fill="auto"/>
          </w:tcPr>
          <w:p w14:paraId="495FBD53"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78EEEF18" w14:textId="77777777" w:rsidR="00154DA3" w:rsidRPr="008A3702" w:rsidRDefault="00913925" w:rsidP="008A3702">
            <w:pPr>
              <w:spacing w:before="0" w:after="0" w:line="240" w:lineRule="auto"/>
              <w:rPr>
                <w:rFonts w:ascii="Times New Roman" w:eastAsiaTheme="minorHAnsi" w:hAnsi="Times New Roman" w:cs="Times New Roman"/>
                <w:sz w:val="22"/>
                <w:szCs w:val="22"/>
                <w:lang w:eastAsia="en-US"/>
              </w:rPr>
            </w:pPr>
            <w:r w:rsidRPr="00913925">
              <w:rPr>
                <w:rFonts w:ascii="Times New Roman" w:eastAsiaTheme="minorHAnsi" w:hAnsi="Times New Roman" w:cs="Times New Roman"/>
                <w:sz w:val="22"/>
                <w:szCs w:val="22"/>
                <w:lang w:eastAsia="en-US"/>
              </w:rPr>
              <w:t>Urząd Ochrony Konkurencji i Konsumentów</w:t>
            </w:r>
          </w:p>
        </w:tc>
        <w:tc>
          <w:tcPr>
            <w:tcW w:w="1526" w:type="dxa"/>
            <w:shd w:val="clear" w:color="auto" w:fill="auto"/>
          </w:tcPr>
          <w:p w14:paraId="015752AD" w14:textId="77777777" w:rsidR="00154DA3" w:rsidRPr="008A3702" w:rsidRDefault="00913925" w:rsidP="008A3702">
            <w:pPr>
              <w:spacing w:before="0" w:after="0" w:line="240" w:lineRule="auto"/>
              <w:rPr>
                <w:rFonts w:ascii="Times New Roman" w:eastAsiaTheme="minorHAnsi" w:hAnsi="Times New Roman" w:cs="Times New Roman"/>
                <w:sz w:val="22"/>
                <w:szCs w:val="22"/>
                <w:lang w:eastAsia="en-US"/>
              </w:rPr>
            </w:pPr>
            <w:r w:rsidRPr="00913925">
              <w:rPr>
                <w:rFonts w:ascii="Times New Roman" w:eastAsiaTheme="minorHAnsi" w:hAnsi="Times New Roman" w:cs="Times New Roman"/>
                <w:sz w:val="22"/>
                <w:szCs w:val="22"/>
                <w:lang w:eastAsia="en-US"/>
              </w:rPr>
              <w:t>Art. 31 ust. 3</w:t>
            </w:r>
          </w:p>
        </w:tc>
        <w:tc>
          <w:tcPr>
            <w:tcW w:w="5323" w:type="dxa"/>
            <w:shd w:val="clear" w:color="auto" w:fill="auto"/>
          </w:tcPr>
          <w:p w14:paraId="0E0B5A24" w14:textId="77777777" w:rsidR="00154DA3" w:rsidRPr="008A3702" w:rsidRDefault="00913925" w:rsidP="008A3702">
            <w:pPr>
              <w:spacing w:before="0" w:after="0" w:line="240" w:lineRule="auto"/>
              <w:jc w:val="both"/>
              <w:rPr>
                <w:rFonts w:ascii="Times New Roman" w:eastAsiaTheme="minorHAnsi" w:hAnsi="Times New Roman" w:cs="Times New Roman"/>
                <w:sz w:val="22"/>
                <w:szCs w:val="22"/>
                <w:lang w:eastAsia="en-US"/>
              </w:rPr>
            </w:pPr>
            <w:r w:rsidRPr="00913925">
              <w:rPr>
                <w:rFonts w:ascii="Times New Roman" w:eastAsiaTheme="minorHAnsi" w:hAnsi="Times New Roman" w:cs="Times New Roman"/>
                <w:sz w:val="22"/>
                <w:szCs w:val="22"/>
                <w:lang w:eastAsia="en-US"/>
              </w:rPr>
              <w:t>Przedmiotowy przepis przewiduje, iż minister właściwy do spraw informatyzacji będzie mógł zlecić wyspecjalizowanym</w:t>
            </w:r>
            <w:r>
              <w:rPr>
                <w:rFonts w:ascii="Times New Roman" w:eastAsiaTheme="minorHAnsi" w:hAnsi="Times New Roman" w:cs="Times New Roman"/>
                <w:sz w:val="22"/>
                <w:szCs w:val="22"/>
                <w:lang w:eastAsia="en-US"/>
              </w:rPr>
              <w:t xml:space="preserve"> podmiotom czynności związane z </w:t>
            </w:r>
            <w:r w:rsidRPr="00913925">
              <w:rPr>
                <w:rFonts w:ascii="Times New Roman" w:eastAsiaTheme="minorHAnsi" w:hAnsi="Times New Roman" w:cs="Times New Roman"/>
                <w:sz w:val="22"/>
                <w:szCs w:val="22"/>
                <w:lang w:eastAsia="en-US"/>
              </w:rPr>
              <w:t>prowadzeniem portalu otwartych danych. Wybrane, wyspecjalizowane, podmioty będą zobowiązane do zapewnienia rozliczalności i niezawodności prowadzenia portalu oraz zapewnienia integralności, rozliczalności, dostępności, autentyczności i niezaprzeczalności zbiorów danych w nim udostępnianych. W art. 31 ust. 3 projektu ustawy nie został określony tryb wyłaniania wyspecjalizowanego podmiotu do realizacji zadań wskazanych w przedmiotowej regulacji.</w:t>
            </w:r>
          </w:p>
        </w:tc>
        <w:tc>
          <w:tcPr>
            <w:tcW w:w="4785" w:type="dxa"/>
            <w:shd w:val="clear" w:color="auto" w:fill="auto"/>
          </w:tcPr>
          <w:p w14:paraId="648DDFC2" w14:textId="77777777" w:rsidR="00913925" w:rsidRPr="00913925" w:rsidRDefault="00913925" w:rsidP="00913925">
            <w:pPr>
              <w:spacing w:before="0" w:after="0" w:line="259" w:lineRule="auto"/>
              <w:rPr>
                <w:rFonts w:ascii="Times New Roman" w:eastAsiaTheme="minorHAnsi" w:hAnsi="Times New Roman" w:cs="Times New Roman"/>
                <w:b/>
                <w:sz w:val="22"/>
                <w:szCs w:val="22"/>
                <w:lang w:eastAsia="en-US"/>
              </w:rPr>
            </w:pPr>
            <w:r w:rsidRPr="00913925">
              <w:rPr>
                <w:rFonts w:ascii="Times New Roman" w:eastAsiaTheme="minorHAnsi" w:hAnsi="Times New Roman" w:cs="Times New Roman"/>
                <w:b/>
                <w:sz w:val="22"/>
                <w:szCs w:val="22"/>
                <w:lang w:eastAsia="en-US"/>
              </w:rPr>
              <w:t>Uwaga nieuwzględniona</w:t>
            </w:r>
          </w:p>
          <w:p w14:paraId="31CE0229" w14:textId="77777777" w:rsidR="00913925" w:rsidRPr="00913925" w:rsidRDefault="00913925" w:rsidP="00913925">
            <w:pPr>
              <w:spacing w:before="0" w:after="0" w:line="240" w:lineRule="auto"/>
              <w:jc w:val="both"/>
              <w:rPr>
                <w:rFonts w:ascii="Times New Roman" w:eastAsiaTheme="minorHAnsi" w:hAnsi="Times New Roman" w:cs="Times New Roman"/>
                <w:sz w:val="22"/>
                <w:szCs w:val="22"/>
                <w:lang w:eastAsia="en-US"/>
              </w:rPr>
            </w:pPr>
            <w:r w:rsidRPr="00913925">
              <w:rPr>
                <w:rFonts w:ascii="Times New Roman" w:eastAsiaTheme="minorHAnsi" w:hAnsi="Times New Roman" w:cs="Times New Roman"/>
                <w:sz w:val="22"/>
                <w:szCs w:val="22"/>
                <w:lang w:eastAsia="en-US"/>
              </w:rPr>
              <w:t xml:space="preserve">Wskazany przepis ustawy jest przeniesiony z obowiązującej ustawy z dnia 6 września 2001 r. o dostępie do informacji publicznej (Dz. U. z 2020 r. poz. 2176). Przepis ten obowiązuje od 2013 r. W przypadku zlecenia przez ministra właściwego do sprawy informatyzacji wyspecjalizowanym podmiotom czynności związanych z prowadzeniem portalu danych, proces ten odbywałyby się przy zachowaniu przepisów o zamówieniach publicznych oraz podjęciu stosowanych decyzji przez ministra właściwego do spraw informatyzacji. </w:t>
            </w:r>
          </w:p>
          <w:p w14:paraId="4735B79C" w14:textId="77777777" w:rsidR="00154DA3" w:rsidRPr="008A3702" w:rsidRDefault="00913925" w:rsidP="00913925">
            <w:pPr>
              <w:spacing w:before="0" w:after="0" w:line="240" w:lineRule="auto"/>
              <w:rPr>
                <w:rFonts w:ascii="Times New Roman" w:eastAsiaTheme="minorHAnsi" w:hAnsi="Times New Roman" w:cs="Times New Roman"/>
                <w:sz w:val="22"/>
                <w:szCs w:val="22"/>
                <w:lang w:eastAsia="en-US"/>
              </w:rPr>
            </w:pPr>
            <w:r w:rsidRPr="00913925">
              <w:rPr>
                <w:rFonts w:ascii="Times New Roman" w:eastAsiaTheme="minorHAnsi" w:hAnsi="Times New Roman" w:cs="Times New Roman"/>
                <w:sz w:val="22"/>
                <w:szCs w:val="22"/>
                <w:lang w:eastAsia="en-US"/>
              </w:rPr>
              <w:t>Powyższe wyjaśnienie zostanie dodane do uzasadnienia projektowanych przepisów.</w:t>
            </w:r>
          </w:p>
        </w:tc>
      </w:tr>
      <w:tr w:rsidR="00154DA3" w:rsidRPr="008A3702" w14:paraId="320A78E0" w14:textId="77777777" w:rsidTr="00F73818">
        <w:tc>
          <w:tcPr>
            <w:tcW w:w="676" w:type="dxa"/>
            <w:shd w:val="clear" w:color="auto" w:fill="auto"/>
          </w:tcPr>
          <w:p w14:paraId="7289301F"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14080462" w14:textId="77777777" w:rsidR="00154DA3" w:rsidRPr="008A3702" w:rsidRDefault="00850390" w:rsidP="008A3702">
            <w:pPr>
              <w:spacing w:before="0" w:after="0" w:line="240" w:lineRule="auto"/>
              <w:rPr>
                <w:rFonts w:ascii="Times New Roman" w:eastAsiaTheme="minorHAnsi" w:hAnsi="Times New Roman" w:cs="Times New Roman"/>
                <w:sz w:val="22"/>
                <w:szCs w:val="22"/>
                <w:lang w:eastAsia="en-US"/>
              </w:rPr>
            </w:pPr>
            <w:r w:rsidRPr="00850390">
              <w:rPr>
                <w:rFonts w:ascii="Times New Roman" w:eastAsiaTheme="minorHAnsi" w:hAnsi="Times New Roman" w:cs="Times New Roman"/>
                <w:sz w:val="22"/>
                <w:szCs w:val="22"/>
                <w:lang w:eastAsia="en-US"/>
              </w:rPr>
              <w:t>Narodowe Centrum Badań i Rozwoju</w:t>
            </w:r>
          </w:p>
        </w:tc>
        <w:tc>
          <w:tcPr>
            <w:tcW w:w="1526" w:type="dxa"/>
            <w:shd w:val="clear" w:color="auto" w:fill="auto"/>
          </w:tcPr>
          <w:p w14:paraId="129CE577" w14:textId="77777777" w:rsidR="00154DA3" w:rsidRPr="008A3702" w:rsidRDefault="00850390" w:rsidP="00850390">
            <w:pPr>
              <w:spacing w:before="0" w:after="0" w:line="240" w:lineRule="auto"/>
              <w:rPr>
                <w:rFonts w:ascii="Times New Roman" w:eastAsiaTheme="minorHAnsi" w:hAnsi="Times New Roman" w:cs="Times New Roman"/>
                <w:sz w:val="22"/>
                <w:szCs w:val="22"/>
                <w:lang w:eastAsia="en-US"/>
              </w:rPr>
            </w:pPr>
            <w:r w:rsidRPr="00850390">
              <w:rPr>
                <w:rFonts w:ascii="Times New Roman" w:eastAsiaTheme="minorHAnsi" w:hAnsi="Times New Roman" w:cs="Times New Roman"/>
                <w:sz w:val="22"/>
                <w:szCs w:val="22"/>
                <w:lang w:eastAsia="en-US"/>
              </w:rPr>
              <w:t>Art. 38 ust. 3 i ust. 6</w:t>
            </w:r>
          </w:p>
        </w:tc>
        <w:tc>
          <w:tcPr>
            <w:tcW w:w="5323" w:type="dxa"/>
            <w:shd w:val="clear" w:color="auto" w:fill="auto"/>
          </w:tcPr>
          <w:p w14:paraId="281BD31C" w14:textId="77777777" w:rsidR="00154DA3" w:rsidRPr="008A3702" w:rsidRDefault="00850390" w:rsidP="008A3702">
            <w:pPr>
              <w:spacing w:before="0" w:after="0" w:line="240" w:lineRule="auto"/>
              <w:jc w:val="both"/>
              <w:rPr>
                <w:rFonts w:ascii="Times New Roman" w:eastAsiaTheme="minorHAnsi" w:hAnsi="Times New Roman" w:cs="Times New Roman"/>
                <w:sz w:val="22"/>
                <w:szCs w:val="22"/>
                <w:lang w:eastAsia="en-US"/>
              </w:rPr>
            </w:pPr>
            <w:r w:rsidRPr="00850390">
              <w:rPr>
                <w:rFonts w:ascii="Times New Roman" w:eastAsiaTheme="minorHAnsi" w:hAnsi="Times New Roman" w:cs="Times New Roman"/>
                <w:sz w:val="22"/>
                <w:szCs w:val="22"/>
                <w:lang w:eastAsia="en-US"/>
              </w:rPr>
              <w:t>Projekt ustawy wskazuje jedynie na minimalne wymogi wniosku o ponowne wykorzystanie danych, określając przy tym, iż w razie niespełnienia warunków formalnych wzywa się wnioskodawcę do uzupełnienia braków. Proponuje się uzupełnienie regulacji o wskazanie podmiotu określającego warunki formalne oraz miejsca ich publikacji, w taki sposób aby wnioskodawca mógł się z nimi zapoznać przed złożeniem wniosku.</w:t>
            </w:r>
          </w:p>
        </w:tc>
        <w:tc>
          <w:tcPr>
            <w:tcW w:w="4785" w:type="dxa"/>
            <w:shd w:val="clear" w:color="auto" w:fill="auto"/>
          </w:tcPr>
          <w:p w14:paraId="4E7E9A95" w14:textId="77777777" w:rsidR="00850390" w:rsidRPr="00850390" w:rsidRDefault="00850390" w:rsidP="00850390">
            <w:pPr>
              <w:spacing w:before="0" w:after="0" w:line="240" w:lineRule="auto"/>
              <w:rPr>
                <w:rFonts w:ascii="Times New Roman" w:eastAsiaTheme="minorHAnsi" w:hAnsi="Times New Roman" w:cs="Times New Roman"/>
                <w:b/>
                <w:sz w:val="22"/>
                <w:szCs w:val="22"/>
                <w:lang w:eastAsia="en-US"/>
              </w:rPr>
            </w:pPr>
            <w:r w:rsidRPr="00850390">
              <w:rPr>
                <w:rFonts w:ascii="Times New Roman" w:eastAsiaTheme="minorHAnsi" w:hAnsi="Times New Roman" w:cs="Times New Roman"/>
                <w:b/>
                <w:sz w:val="22"/>
                <w:szCs w:val="22"/>
                <w:lang w:eastAsia="en-US"/>
              </w:rPr>
              <w:t>Uwaga nieuwzględniona</w:t>
            </w:r>
          </w:p>
          <w:p w14:paraId="69FD35EB" w14:textId="0A5F5CE3" w:rsidR="00154DA3" w:rsidRPr="008A3702" w:rsidRDefault="00850390" w:rsidP="008075E0">
            <w:pPr>
              <w:spacing w:before="0" w:after="0" w:line="240" w:lineRule="auto"/>
              <w:jc w:val="both"/>
              <w:rPr>
                <w:rFonts w:ascii="Times New Roman" w:eastAsiaTheme="minorHAnsi" w:hAnsi="Times New Roman" w:cs="Times New Roman"/>
                <w:sz w:val="22"/>
                <w:szCs w:val="22"/>
                <w:lang w:eastAsia="en-US"/>
              </w:rPr>
            </w:pPr>
            <w:r w:rsidRPr="00850390">
              <w:rPr>
                <w:rFonts w:ascii="Times New Roman" w:eastAsiaTheme="minorHAnsi" w:hAnsi="Times New Roman" w:cs="Times New Roman"/>
                <w:sz w:val="22"/>
                <w:szCs w:val="22"/>
                <w:lang w:eastAsia="en-US"/>
              </w:rPr>
              <w:t>Warunk</w:t>
            </w:r>
            <w:r w:rsidR="008075E0">
              <w:rPr>
                <w:rFonts w:ascii="Times New Roman" w:eastAsiaTheme="minorHAnsi" w:hAnsi="Times New Roman" w:cs="Times New Roman"/>
                <w:sz w:val="22"/>
                <w:szCs w:val="22"/>
                <w:lang w:eastAsia="en-US"/>
              </w:rPr>
              <w:t>i</w:t>
            </w:r>
            <w:r w:rsidRPr="00850390">
              <w:rPr>
                <w:rFonts w:ascii="Times New Roman" w:eastAsiaTheme="minorHAnsi" w:hAnsi="Times New Roman" w:cs="Times New Roman"/>
                <w:sz w:val="22"/>
                <w:szCs w:val="22"/>
                <w:lang w:eastAsia="en-US"/>
              </w:rPr>
              <w:t xml:space="preserve"> jakie musi spełniać wniosek zawarte są w art. 38 ust. 2 projektu. Są to minimalne warunki. Jeżeli podmiot zobowiązany uzna za konieczne uzupełnienie wniosku wezwie w tym zakresie wnioskodawcę o uzupełnienie braków.</w:t>
            </w:r>
          </w:p>
        </w:tc>
      </w:tr>
      <w:tr w:rsidR="00154DA3" w:rsidRPr="008A3702" w14:paraId="42F5FADC" w14:textId="77777777" w:rsidTr="00F73818">
        <w:tc>
          <w:tcPr>
            <w:tcW w:w="676" w:type="dxa"/>
            <w:shd w:val="clear" w:color="auto" w:fill="auto"/>
          </w:tcPr>
          <w:p w14:paraId="56CBF08E"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68D866DA" w14:textId="77777777" w:rsidR="00154DA3" w:rsidRPr="008A3702" w:rsidRDefault="00C57095" w:rsidP="008A3702">
            <w:pPr>
              <w:spacing w:before="0" w:after="0" w:line="240" w:lineRule="auto"/>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Naczelna Dyrekcja Archiwów Państwowych</w:t>
            </w:r>
          </w:p>
        </w:tc>
        <w:tc>
          <w:tcPr>
            <w:tcW w:w="1526" w:type="dxa"/>
            <w:shd w:val="clear" w:color="auto" w:fill="auto"/>
          </w:tcPr>
          <w:p w14:paraId="50EEAF48" w14:textId="77777777" w:rsidR="00154DA3" w:rsidRPr="008A3702" w:rsidRDefault="00C57095" w:rsidP="008A3702">
            <w:pPr>
              <w:spacing w:before="0" w:after="0" w:line="240" w:lineRule="auto"/>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Art. 38 ust. 6</w:t>
            </w:r>
          </w:p>
        </w:tc>
        <w:tc>
          <w:tcPr>
            <w:tcW w:w="5323" w:type="dxa"/>
            <w:shd w:val="clear" w:color="auto" w:fill="auto"/>
          </w:tcPr>
          <w:p w14:paraId="6FC7412F" w14:textId="77777777"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Proponowane zmiany:</w:t>
            </w:r>
          </w:p>
          <w:p w14:paraId="4A1C94B8" w14:textId="77777777"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 xml:space="preserve">W art. 38 po ust. 6 dodać nowy ust. 7, w brzmieniu: </w:t>
            </w:r>
          </w:p>
          <w:p w14:paraId="45823F5E" w14:textId="77777777"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„7. Przekazanie informacji sektora publicznego w celu ponownego wykorzystywania może nastąpić w trybie bezwnioskowym, jeśli stanowią tak przepisy innych ustaw, o których mowa w art. 7 ust. 1, a uprawnienia osób zainteresowanych nie ulegną ograniczeniu w stosunku do trybu wnioskowego.”</w:t>
            </w:r>
          </w:p>
          <w:p w14:paraId="30C5E1E6" w14:textId="77777777"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Uzasadnienie:</w:t>
            </w:r>
          </w:p>
          <w:p w14:paraId="32780BD9" w14:textId="77777777" w:rsidR="00154DA3" w:rsidRPr="008A3702"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 xml:space="preserve">Zgodnie z unza udostępnianie materiałów archiwalnych następuje – pod warunkiem braku przeszkód prawnych - na podstawie zgłoszenia zainteresowanej osoby, a jeśli informacja ma być przekazana w szczególny sposób lub w </w:t>
            </w:r>
            <w:r w:rsidRPr="00C57095">
              <w:rPr>
                <w:rFonts w:ascii="Times New Roman" w:eastAsiaTheme="minorHAnsi" w:hAnsi="Times New Roman" w:cs="Times New Roman"/>
                <w:sz w:val="22"/>
                <w:szCs w:val="22"/>
                <w:lang w:eastAsia="en-US"/>
              </w:rPr>
              <w:lastRenderedPageBreak/>
              <w:t>szczególnej formie – na podstawie zamówienia odpłatnej usługi (w kwocie kosztów rzeczywistych). Takie uproszczone procedowanie tylko na podstawie art. 7 ust. 1 projektu powodowało na gruncie upw niepewność prawną, więc w projekcie uOD uzasadnione jest wyraźne sprecyzowanie wyjątku.</w:t>
            </w:r>
          </w:p>
        </w:tc>
        <w:tc>
          <w:tcPr>
            <w:tcW w:w="4785" w:type="dxa"/>
            <w:shd w:val="clear" w:color="auto" w:fill="auto"/>
          </w:tcPr>
          <w:p w14:paraId="426B4EC3" w14:textId="77777777" w:rsidR="00C57095" w:rsidRPr="00C57095" w:rsidRDefault="00C57095" w:rsidP="00C57095">
            <w:pPr>
              <w:spacing w:before="0" w:after="0" w:line="240" w:lineRule="auto"/>
              <w:rPr>
                <w:rFonts w:ascii="Times New Roman" w:eastAsiaTheme="minorHAnsi" w:hAnsi="Times New Roman" w:cs="Times New Roman"/>
                <w:b/>
                <w:sz w:val="22"/>
                <w:szCs w:val="22"/>
                <w:lang w:eastAsia="en-US"/>
              </w:rPr>
            </w:pPr>
            <w:r w:rsidRPr="00C57095">
              <w:rPr>
                <w:rFonts w:ascii="Times New Roman" w:eastAsiaTheme="minorHAnsi" w:hAnsi="Times New Roman" w:cs="Times New Roman"/>
                <w:b/>
                <w:sz w:val="22"/>
                <w:szCs w:val="22"/>
                <w:lang w:eastAsia="en-US"/>
              </w:rPr>
              <w:lastRenderedPageBreak/>
              <w:t>Uwaga nieuwzględniona</w:t>
            </w:r>
          </w:p>
          <w:p w14:paraId="29B95AE5" w14:textId="1029094B"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w:t>
            </w:r>
            <w:r w:rsidRPr="00C57095">
              <w:rPr>
                <w:rFonts w:ascii="Times New Roman" w:eastAsiaTheme="minorHAnsi" w:hAnsi="Times New Roman" w:cs="Times New Roman"/>
                <w:sz w:val="22"/>
                <w:szCs w:val="22"/>
                <w:lang w:eastAsia="en-US"/>
              </w:rPr>
              <w:lastRenderedPageBreak/>
              <w:t>sektora publicznego. Komentarz. Wolters Kluwer, wydanie 2, Warszawa 2019, str. 226</w:t>
            </w:r>
            <w:r w:rsidRPr="00C57095">
              <w:rPr>
                <w:rFonts w:ascii="Times New Roman" w:eastAsiaTheme="minorHAnsi" w:hAnsi="Times New Roman" w:cs="Times New Roman"/>
                <w:sz w:val="22"/>
                <w:szCs w:val="22"/>
                <w:vertAlign w:val="superscript"/>
                <w:lang w:eastAsia="en-US"/>
              </w:rPr>
              <w:footnoteReference w:id="7"/>
            </w:r>
            <w:r w:rsidR="009A2628">
              <w:rPr>
                <w:rFonts w:ascii="Times New Roman" w:eastAsiaTheme="minorHAnsi" w:hAnsi="Times New Roman" w:cs="Times New Roman"/>
                <w:sz w:val="22"/>
                <w:szCs w:val="22"/>
                <w:vertAlign w:val="superscript"/>
                <w:lang w:eastAsia="en-US"/>
              </w:rPr>
              <w:t>)</w:t>
            </w:r>
            <w:r w:rsidRPr="00C57095">
              <w:rPr>
                <w:rFonts w:ascii="Times New Roman" w:eastAsiaTheme="minorHAnsi" w:hAnsi="Times New Roman" w:cs="Times New Roman"/>
                <w:sz w:val="22"/>
                <w:szCs w:val="22"/>
                <w:lang w:eastAsia="en-US"/>
              </w:rPr>
              <w:t>).</w:t>
            </w:r>
          </w:p>
          <w:p w14:paraId="46E0C4AE" w14:textId="11564935"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C57095">
              <w:rPr>
                <w:rFonts w:ascii="Times New Roman" w:eastAsiaTheme="minorHAnsi" w:hAnsi="Times New Roman" w:cs="Times New Roman"/>
                <w:sz w:val="22"/>
                <w:szCs w:val="22"/>
                <w:vertAlign w:val="superscript"/>
                <w:lang w:eastAsia="en-US"/>
              </w:rPr>
              <w:footnoteReference w:id="8"/>
            </w:r>
            <w:r w:rsidR="009A2628">
              <w:rPr>
                <w:rFonts w:ascii="Times New Roman" w:eastAsiaTheme="minorHAnsi" w:hAnsi="Times New Roman" w:cs="Times New Roman"/>
                <w:sz w:val="22"/>
                <w:szCs w:val="22"/>
                <w:vertAlign w:val="superscript"/>
                <w:lang w:eastAsia="en-US"/>
              </w:rPr>
              <w:t>)</w:t>
            </w:r>
            <w:r w:rsidRPr="00C57095">
              <w:rPr>
                <w:rFonts w:ascii="Times New Roman" w:eastAsiaTheme="minorHAnsi" w:hAnsi="Times New Roman" w:cs="Times New Roman"/>
                <w:sz w:val="22"/>
                <w:szCs w:val="22"/>
                <w:lang w:eastAsia="en-US"/>
              </w:rPr>
              <w:t>).</w:t>
            </w:r>
          </w:p>
          <w:p w14:paraId="37E6179C" w14:textId="77777777" w:rsidR="00C57095" w:rsidRPr="00C57095"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t xml:space="preserve">W związku z powyższym niezadane jest wprowadzenie dodatkowego przepisu regulującego kwestię relacji przepisów ustaw szczególnych względem projektowanych regulacji. W zakresie w jakim inne ustawy (w tym  ustawa wskazana w uwadze) wprowadzać będą odrębne zasady dostępu do określonych danych, regulacje takie (jako przepisy szczególne) znajdować będą pierwszeństwo przed przepisami projektowanej ustawy. </w:t>
            </w:r>
          </w:p>
          <w:p w14:paraId="112491B1" w14:textId="77777777" w:rsidR="00154DA3" w:rsidRPr="008A3702" w:rsidRDefault="00C57095" w:rsidP="00C57095">
            <w:pPr>
              <w:spacing w:before="0" w:after="0" w:line="240" w:lineRule="auto"/>
              <w:jc w:val="both"/>
              <w:rPr>
                <w:rFonts w:ascii="Times New Roman" w:eastAsiaTheme="minorHAnsi" w:hAnsi="Times New Roman" w:cs="Times New Roman"/>
                <w:sz w:val="22"/>
                <w:szCs w:val="22"/>
                <w:lang w:eastAsia="en-US"/>
              </w:rPr>
            </w:pPr>
            <w:r w:rsidRPr="00C57095">
              <w:rPr>
                <w:rFonts w:ascii="Times New Roman" w:eastAsiaTheme="minorHAnsi" w:hAnsi="Times New Roman" w:cs="Times New Roman"/>
                <w:sz w:val="22"/>
                <w:szCs w:val="22"/>
                <w:lang w:eastAsia="en-US"/>
              </w:rPr>
              <w:lastRenderedPageBreak/>
              <w:t>Dodatkowo projekt ustawy przewiduje, że podmiot zobowiązany, w drodze decyzji, odmawia wyrażenia zgody na ponowne wykorzystywanie ISP w przypadku gdy prawo do ponownego wykorzystywania podlega ograniczeniom, o których mowa w art. 6.</w:t>
            </w:r>
          </w:p>
        </w:tc>
      </w:tr>
      <w:tr w:rsidR="00154DA3" w:rsidRPr="008A3702" w14:paraId="4BA75549" w14:textId="77777777" w:rsidTr="00F73818">
        <w:tc>
          <w:tcPr>
            <w:tcW w:w="676" w:type="dxa"/>
            <w:shd w:val="clear" w:color="auto" w:fill="auto"/>
          </w:tcPr>
          <w:p w14:paraId="71A58F4E"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777784D1" w14:textId="77777777" w:rsidR="00154DA3" w:rsidRPr="008A3702" w:rsidRDefault="00C52FEB" w:rsidP="008A3702">
            <w:pPr>
              <w:spacing w:before="0" w:after="0" w:line="240" w:lineRule="auto"/>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Polski Komitet Normalizacyjny</w:t>
            </w:r>
          </w:p>
        </w:tc>
        <w:tc>
          <w:tcPr>
            <w:tcW w:w="1526" w:type="dxa"/>
            <w:shd w:val="clear" w:color="auto" w:fill="auto"/>
          </w:tcPr>
          <w:p w14:paraId="3F2F2BE7" w14:textId="77777777" w:rsidR="00154DA3" w:rsidRPr="008A3702" w:rsidRDefault="00C52FEB" w:rsidP="008A3702">
            <w:pPr>
              <w:spacing w:before="0" w:after="0" w:line="240" w:lineRule="auto"/>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Rozdział 10</w:t>
            </w:r>
          </w:p>
        </w:tc>
        <w:tc>
          <w:tcPr>
            <w:tcW w:w="5323" w:type="dxa"/>
            <w:shd w:val="clear" w:color="auto" w:fill="auto"/>
          </w:tcPr>
          <w:p w14:paraId="0FB41F01"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Projekt ustawy o otwartych danych i ponownym wykorzystywaniu informacji sektora publicznego zakłada m.in. zmiany innych ustaw w zakresie dotyczącym problematyki otwartości danych oraz ponownego wykorzystania informacji sektora publicznego.</w:t>
            </w:r>
          </w:p>
          <w:p w14:paraId="0C1613ED"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Chciałbym zwrócić uwagę, że ww. projekt ustawy nie zakłada zmiany ustawy o normalizacji z dnia 12 września 2002 r., która w art. 5 ust. 7 wyłącza dostęp do Polskich Norm w trybie ustawy z dnia 6 września 2001r. o dostępie do informacji publicznej.</w:t>
            </w:r>
          </w:p>
          <w:p w14:paraId="4607252B"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W związku z powyższym w ocenie PKN istnieje potrzeba dodania w rozdziale 10 projektu ustawy - „Zmiany w przepisach” artykułu, w którym zostanie dokonana zmiana art. 5 ust. 7 ustawy o normalizacji poprzez wyraźne wskazanie, że ochrony Polskich Norm, o której mowa w art. 5 ust. 5 nie narusza ustawa o otwartych danych i ponownym wykorzystywaniu informacji sektora publicznego. Należy wyraźnie podkreślić, że zmiana w przedmiotowym zakresie uporządkuje jednoznacznie sposób udostępniania Polskich Norm.</w:t>
            </w:r>
          </w:p>
          <w:p w14:paraId="1B29B3B2"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Naczelny Sąd Administracyjny wyrokiem z dnia 31 maja 2004 r., sygn. akt OSK 205/04, potwierdził, iż Polskie Normy nie stanowią informacji publicznej i nie podlegają udostępnieniu na wniosek zainteresowanego w trybie art. 14 ustawy o dostępie do informacji publicznej, jeżeli informacja ma dotyczyć Polskiej Normy w rozumieniu przepisów ustawy o normalizacji.</w:t>
            </w:r>
          </w:p>
          <w:p w14:paraId="29DF7BAC"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 xml:space="preserve">Wojewódzki Sąd Administracyjny w wyrokach z dnia 29 czerwca 2017 r., sygn. akt II SA/Wa 293/17 oraz z dnia 19 </w:t>
            </w:r>
            <w:r w:rsidRPr="00C52FEB">
              <w:rPr>
                <w:rFonts w:ascii="Times New Roman" w:eastAsiaTheme="minorHAnsi" w:hAnsi="Times New Roman" w:cs="Times New Roman"/>
                <w:sz w:val="22"/>
                <w:szCs w:val="22"/>
                <w:lang w:eastAsia="en-US"/>
              </w:rPr>
              <w:lastRenderedPageBreak/>
              <w:t>września 2017 r., sygn. akt II SA/Wa 297/17 potwierdził wyjątkowość przedmiotu ustawy o normalizacji i jej szczególne znaczenie dla kraju, stwierdzając, że ustawa ta reguluje sposób dostępności Polskich Norm. Potwierdził przy tym dotychczasowe stanowisko w orzecznictwie, że sformułowanie art. 5 ust. 7 ustawy o normalizacji może być odczytywane wyłącznie w jeden sposób, a mianowicie jako wyłączające dostępność Polskich Norm spod regulacji ustawy o dostępie do informacji publicznej. W świetle powyższego - jeśli ustawa o normalizacji wyłączyła dostępność Polskich Norm w trybie ustawy o dostępie do informacji publicznej, konsekwentnie należy uznać, że dostęp do Polskich Norm nie przysługuje również w trybie ustawy o dostępie do informacji sektora publicznego, który to akt prawny jest ściśle powiązany przedmiotowo z ustawą o dostępie do informacji publicznej. Powyższe zostało potwierdzone przez Naczelny Sąd Administracyjny w wyrokach z dnia 21sierpnia 2019 r. (I OSK 2354/17 oraz I OSK 2783/17).</w:t>
            </w:r>
          </w:p>
          <w:p w14:paraId="7D983E50"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Reasumując wnoszę o dodanie do projektu ustawy o otwartych danych i ponownym wykorzystywaniu informacji sektora publicznego w rozdziale 10 artykułu w brzmieniu:</w:t>
            </w:r>
          </w:p>
          <w:p w14:paraId="549B722E" w14:textId="77777777" w:rsidR="00C52FEB" w:rsidRPr="00C52FEB"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„W ustawie z dnia 12 września 2002 r. o normalizacji (Dz. U. z 2015 r. poz. 1483) w art. 5 ust. 7 otrzymuje brzmienie:</w:t>
            </w:r>
          </w:p>
          <w:p w14:paraId="6A7836EF" w14:textId="77777777" w:rsidR="00154DA3" w:rsidRPr="008A3702"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Theme="minorHAnsi" w:hAnsi="Times New Roman" w:cs="Times New Roman"/>
                <w:sz w:val="22"/>
                <w:szCs w:val="22"/>
                <w:lang w:eastAsia="en-US"/>
              </w:rPr>
              <w:t>7.Ochrony Polskich Norm, o której mowa w ust. 5, nie narusza ustawa z dnia 6 września 2001 r. o dostępie do informacji publicznej (Dz. U. z 2019 r. poz. 1429 późn. zm.). oraz ustawa z dnia ………….r. o otwartych danych i ponownym wykorzystywaniu informacji sektora publicznego (Dz. U. z …..r., poz. ……).”</w:t>
            </w:r>
          </w:p>
        </w:tc>
        <w:tc>
          <w:tcPr>
            <w:tcW w:w="4785" w:type="dxa"/>
            <w:shd w:val="clear" w:color="auto" w:fill="auto"/>
          </w:tcPr>
          <w:p w14:paraId="20E06211" w14:textId="77777777" w:rsidR="00C52FEB" w:rsidRPr="00C52FEB" w:rsidRDefault="00C52FEB" w:rsidP="00C52FEB">
            <w:pPr>
              <w:spacing w:before="0" w:after="0" w:line="240" w:lineRule="auto"/>
              <w:rPr>
                <w:rFonts w:ascii="Times New Roman" w:eastAsiaTheme="minorHAnsi" w:hAnsi="Times New Roman" w:cs="Times New Roman"/>
                <w:b/>
                <w:sz w:val="22"/>
                <w:szCs w:val="22"/>
                <w:lang w:eastAsia="en-US"/>
              </w:rPr>
            </w:pPr>
            <w:r w:rsidRPr="00C52FEB">
              <w:rPr>
                <w:rFonts w:ascii="Times New Roman" w:eastAsiaTheme="minorHAnsi" w:hAnsi="Times New Roman" w:cs="Times New Roman"/>
                <w:b/>
                <w:sz w:val="22"/>
                <w:szCs w:val="22"/>
                <w:lang w:eastAsia="en-US"/>
              </w:rPr>
              <w:lastRenderedPageBreak/>
              <w:t>Uwaga nieuwzględniona</w:t>
            </w:r>
          </w:p>
          <w:p w14:paraId="5B1EE796" w14:textId="77777777" w:rsidR="00154DA3" w:rsidRPr="008A3702" w:rsidRDefault="00C52FEB" w:rsidP="00C52FEB">
            <w:pPr>
              <w:spacing w:before="0" w:after="0" w:line="240" w:lineRule="auto"/>
              <w:jc w:val="both"/>
              <w:rPr>
                <w:rFonts w:ascii="Times New Roman" w:eastAsiaTheme="minorHAnsi" w:hAnsi="Times New Roman" w:cs="Times New Roman"/>
                <w:sz w:val="22"/>
                <w:szCs w:val="22"/>
                <w:lang w:eastAsia="en-US"/>
              </w:rPr>
            </w:pPr>
            <w:r w:rsidRPr="00C52FEB">
              <w:rPr>
                <w:rFonts w:ascii="Times New Roman" w:eastAsia="Calibri" w:hAnsi="Times New Roman" w:cs="Times New Roman"/>
                <w:sz w:val="22"/>
                <w:szCs w:val="22"/>
                <w:lang w:eastAsia="en-US"/>
              </w:rPr>
              <w:t>Zgodnie z art. 7 ust. 1 projektu przepisy ustawy nie naruszają prawa dostępu do informacji publicznej ani wolności jej rozpowszechniania, ani przepisów innych ustaw określających zasady, warunki i tryb dostępu lub ponownego wykorzystywania informacji będących ISP. Art. 7 ust. 1 projektu ustawy stanowi implementację art. 1 ust. 3 dyrektywy 2019/1024/UE, zgodnie z którym dyrektywa opiera się na unijnych i krajowych systemach dostępu i pozostaje bez uszczerbku dla nich (nie zmienia krajowych reguł dostępu do ISP). Projektowana ustawa, podobnie jak obecnie obowiązująca ustawa z 2016 r., nie zastępuje w związku z tym reguł dostępu do informacji publicznej (przepisów ustawy z dnia 6 września 2001 r. o dostępie do informacji publicznej, Dz. U. z 2020 r. poz. 2176).</w:t>
            </w:r>
          </w:p>
        </w:tc>
      </w:tr>
      <w:tr w:rsidR="00154DA3" w:rsidRPr="008A3702" w14:paraId="254E8A13" w14:textId="77777777" w:rsidTr="00F73818">
        <w:tc>
          <w:tcPr>
            <w:tcW w:w="676" w:type="dxa"/>
            <w:shd w:val="clear" w:color="auto" w:fill="auto"/>
          </w:tcPr>
          <w:p w14:paraId="6D7FABA8" w14:textId="77777777" w:rsidR="00154DA3" w:rsidRPr="00E35D35" w:rsidRDefault="00154DA3" w:rsidP="008A3702">
            <w:pPr>
              <w:numPr>
                <w:ilvl w:val="0"/>
                <w:numId w:val="1"/>
              </w:numPr>
              <w:spacing w:before="0" w:after="0" w:line="240" w:lineRule="auto"/>
              <w:contextualSpacing/>
              <w:rPr>
                <w:rFonts w:ascii="Times New Roman" w:eastAsia="Calibri" w:hAnsi="Times New Roman" w:cs="Times New Roman"/>
                <w:sz w:val="22"/>
                <w:szCs w:val="22"/>
              </w:rPr>
            </w:pPr>
          </w:p>
        </w:tc>
        <w:tc>
          <w:tcPr>
            <w:tcW w:w="1968" w:type="dxa"/>
            <w:shd w:val="clear" w:color="auto" w:fill="auto"/>
          </w:tcPr>
          <w:p w14:paraId="55E93993" w14:textId="77777777" w:rsidR="00154DA3" w:rsidRPr="008A3702" w:rsidRDefault="009F3E66" w:rsidP="008A3702">
            <w:pPr>
              <w:spacing w:before="0" w:after="0" w:line="240" w:lineRule="auto"/>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Główny Urząd Statystyczny</w:t>
            </w:r>
          </w:p>
        </w:tc>
        <w:tc>
          <w:tcPr>
            <w:tcW w:w="1526" w:type="dxa"/>
            <w:shd w:val="clear" w:color="auto" w:fill="auto"/>
          </w:tcPr>
          <w:p w14:paraId="6F52ABD1" w14:textId="77777777" w:rsidR="00154DA3" w:rsidRPr="008A3702" w:rsidRDefault="009F3E66" w:rsidP="008A3702">
            <w:pPr>
              <w:spacing w:before="0" w:after="0" w:line="240" w:lineRule="auto"/>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Art. 45</w:t>
            </w:r>
          </w:p>
        </w:tc>
        <w:tc>
          <w:tcPr>
            <w:tcW w:w="5323" w:type="dxa"/>
            <w:shd w:val="clear" w:color="auto" w:fill="auto"/>
          </w:tcPr>
          <w:p w14:paraId="519674F3" w14:textId="77777777" w:rsidR="009F3E66" w:rsidRPr="009F3E66" w:rsidRDefault="009F3E66" w:rsidP="009F3E66">
            <w:pPr>
              <w:spacing w:before="0" w:after="0" w:line="240"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 xml:space="preserve">GUS proponuje rozszerzenie zmian wprowadzanych w art. 45 projektowanej ustawy w ustawie z dnia 29 czerwca 1995 r. o statystyce publicznej (Dz. U. z 2020 r. poz. 443 i 1486). Oprócz zawartej już w projekcie zmiany w art. 49a </w:t>
            </w:r>
            <w:r w:rsidRPr="009F3E66">
              <w:rPr>
                <w:rFonts w:ascii="Times New Roman" w:eastAsiaTheme="minorHAnsi" w:hAnsi="Times New Roman" w:cs="Times New Roman"/>
                <w:sz w:val="22"/>
                <w:szCs w:val="22"/>
                <w:lang w:eastAsia="en-US"/>
              </w:rPr>
              <w:lastRenderedPageBreak/>
              <w:t>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14:paraId="14116A38" w14:textId="77777777" w:rsidR="009F3E66" w:rsidRPr="009F3E66" w:rsidRDefault="009F3E66" w:rsidP="009F3E66">
            <w:pPr>
              <w:spacing w:before="0" w:after="0" w:line="240"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W art. 2 ustawy o statystyce publicznej proponuje się dodanie pkt 16 w brzmieniu:</w:t>
            </w:r>
          </w:p>
          <w:p w14:paraId="7B2494F2" w14:textId="77777777" w:rsidR="009F3E66" w:rsidRPr="009F3E66" w:rsidRDefault="009F3E66" w:rsidP="009F3E66">
            <w:pPr>
              <w:spacing w:before="0" w:after="0" w:line="240"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„16) informacja sektora publicznego – informacja w rozumieniu art. 2 pkt 8 ustawy z dnia ……. o otwartych danych i ponownym wykorzystywaniu informacji sektora publicznego (Dz. U. …..)”.</w:t>
            </w:r>
          </w:p>
          <w:p w14:paraId="4573075E" w14:textId="77777777" w:rsidR="009F3E66" w:rsidRPr="009F3E66" w:rsidRDefault="009F3E66" w:rsidP="009F3E66">
            <w:pPr>
              <w:spacing w:before="0" w:after="0" w:line="240"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Potrzeba dodanie pkt 16 w art. 2 ustawy o statystyce publicznej wynika z wykorzystywania tego pojęcia w szczególności w dodawanym ust. 1a w art. 13 ustawy o statystyce publicznej (vide poniżej).</w:t>
            </w:r>
          </w:p>
          <w:p w14:paraId="68EE79F0" w14:textId="77777777" w:rsidR="009F3E66" w:rsidRPr="009F3E66" w:rsidRDefault="009F3E66" w:rsidP="009F3E66">
            <w:pPr>
              <w:spacing w:before="0" w:after="0" w:line="240" w:lineRule="auto"/>
              <w:jc w:val="both"/>
              <w:rPr>
                <w:rFonts w:ascii="Times New Roman" w:eastAsiaTheme="minorHAnsi" w:hAnsi="Times New Roman" w:cs="Times New Roman"/>
                <w:sz w:val="22"/>
                <w:szCs w:val="22"/>
                <w:highlight w:val="yellow"/>
                <w:lang w:eastAsia="en-US"/>
              </w:rPr>
            </w:pPr>
          </w:p>
          <w:p w14:paraId="1FC8CF65" w14:textId="77777777" w:rsidR="009F3E66" w:rsidRPr="00FC1A02" w:rsidRDefault="009F3E66" w:rsidP="009F3E66">
            <w:pPr>
              <w:spacing w:before="0" w:after="0" w:line="240" w:lineRule="auto"/>
              <w:jc w:val="both"/>
              <w:rPr>
                <w:rFonts w:ascii="Times New Roman" w:eastAsiaTheme="minorHAnsi" w:hAnsi="Times New Roman" w:cs="Times New Roman"/>
                <w:sz w:val="22"/>
                <w:szCs w:val="22"/>
                <w:lang w:eastAsia="en-US"/>
              </w:rPr>
            </w:pPr>
            <w:r w:rsidRPr="00FC1A02">
              <w:rPr>
                <w:rFonts w:ascii="Times New Roman" w:eastAsiaTheme="minorHAnsi" w:hAnsi="Times New Roman" w:cs="Times New Roman"/>
                <w:sz w:val="22"/>
                <w:szCs w:val="22"/>
                <w:lang w:eastAsia="en-US"/>
              </w:rPr>
              <w:t>Dodatkowe uwagi GUS zgłoszone po konferencji uzgodnieniowej (pismo z 10.12.2020 r., GUS-GP03.0201.341.2020.97).</w:t>
            </w:r>
          </w:p>
          <w:p w14:paraId="75C91C0C" w14:textId="77777777" w:rsidR="009F3E66" w:rsidRPr="00FC1A02" w:rsidRDefault="009F3E66" w:rsidP="009F3E66">
            <w:pPr>
              <w:spacing w:before="0" w:after="0" w:line="240" w:lineRule="auto"/>
              <w:jc w:val="both"/>
              <w:rPr>
                <w:rFonts w:ascii="Times New Roman" w:eastAsiaTheme="minorHAnsi" w:hAnsi="Times New Roman" w:cs="Times New Roman"/>
                <w:sz w:val="22"/>
                <w:szCs w:val="22"/>
                <w:lang w:eastAsia="en-US"/>
              </w:rPr>
            </w:pPr>
            <w:r w:rsidRPr="00FC1A02">
              <w:rPr>
                <w:rFonts w:ascii="Times New Roman" w:eastAsiaTheme="minorHAnsi" w:hAnsi="Times New Roman" w:cs="Times New Roman"/>
                <w:sz w:val="22"/>
                <w:szCs w:val="22"/>
                <w:lang w:eastAsia="en-US"/>
              </w:rPr>
              <w:t xml:space="preserve">GUS proponuje rozszerzenie zmian wprowadzanych w art. 45 projektowanej ustawy w ustawie z dnia </w:t>
            </w:r>
            <w:r w:rsidRPr="00FC1A02">
              <w:rPr>
                <w:rFonts w:ascii="Times New Roman" w:eastAsiaTheme="minorHAnsi" w:hAnsi="Times New Roman" w:cs="Times New Roman"/>
                <w:sz w:val="22"/>
                <w:szCs w:val="22"/>
                <w:lang w:eastAsia="en-US"/>
              </w:rPr>
              <w:br/>
              <w:t>29 czerwca 1995 r. o statystyce publicznej (Dz. U. z 2020 r. poz. 443 i 1486). Oprócz zawartej już w projekcie zmiany dotyczącej art. 49a ustawy o statystyce publicznej polegającej na zastąpieniu wyrazów „ustawy z dnia 25 lutego 2016 r. o ponownym wykorzystywaniu informacji sektora publicznego (Dz. U. z 2019 r. poz. 1446)” wyrazami „ustawy z dnia … o otwartych danych i ponownym wykorzystywaniu informacji sektora publicznego (Dz. U. poz. …), GUS proponuje dodać w art. 45 projektowanej ustawy następujące zmiany w ustawie o statystyce publicznej:</w:t>
            </w:r>
          </w:p>
          <w:p w14:paraId="3F45E7B4" w14:textId="77777777" w:rsidR="009F3E66" w:rsidRPr="00FC1A02" w:rsidRDefault="009F3E66" w:rsidP="009F3E66">
            <w:pPr>
              <w:numPr>
                <w:ilvl w:val="1"/>
                <w:numId w:val="9"/>
              </w:numPr>
              <w:spacing w:before="60" w:after="0" w:line="240" w:lineRule="auto"/>
              <w:ind w:left="395"/>
              <w:jc w:val="both"/>
              <w:rPr>
                <w:rFonts w:ascii="Times New Roman" w:eastAsia="Times New Roman" w:hAnsi="Times New Roman" w:cs="Times New Roman"/>
                <w:color w:val="000000"/>
                <w:sz w:val="22"/>
                <w:szCs w:val="22"/>
                <w:lang w:eastAsia="en-US"/>
              </w:rPr>
            </w:pPr>
            <w:r w:rsidRPr="00FC1A02">
              <w:rPr>
                <w:rFonts w:ascii="Times New Roman" w:eastAsia="Times New Roman" w:hAnsi="Times New Roman" w:cs="Times New Roman"/>
                <w:color w:val="000000"/>
                <w:sz w:val="22"/>
                <w:szCs w:val="22"/>
                <w:lang w:eastAsia="en-US"/>
              </w:rPr>
              <w:lastRenderedPageBreak/>
              <w:t>w art. 2 ustawy o statystyce publicznej proponuje się dodanie pkt 16 w brzmieniu:</w:t>
            </w:r>
          </w:p>
          <w:p w14:paraId="77D6BB3B" w14:textId="77777777" w:rsidR="009F3E66" w:rsidRPr="00FC1A02" w:rsidRDefault="009F3E66" w:rsidP="009F3E66">
            <w:pPr>
              <w:spacing w:before="120" w:after="0" w:line="240" w:lineRule="auto"/>
              <w:ind w:left="679"/>
              <w:contextualSpacing/>
              <w:jc w:val="both"/>
              <w:rPr>
                <w:rFonts w:ascii="Times New Roman" w:eastAsia="Times New Roman" w:hAnsi="Times New Roman" w:cs="Times New Roman"/>
                <w:color w:val="000000"/>
                <w:sz w:val="22"/>
                <w:szCs w:val="22"/>
                <w:lang w:eastAsia="en-US"/>
              </w:rPr>
            </w:pPr>
            <w:r w:rsidRPr="00FC1A02">
              <w:rPr>
                <w:rFonts w:ascii="Times New Roman" w:eastAsia="Times New Roman" w:hAnsi="Times New Roman" w:cs="Times New Roman"/>
                <w:color w:val="000000"/>
                <w:sz w:val="22"/>
                <w:szCs w:val="22"/>
                <w:lang w:eastAsia="en-US"/>
              </w:rPr>
              <w:t>„16) informacja sektora publicznego – informacja w rozumieniu art. 2 pkt 8 ustawy z dnia ……. o otwartych danych i ponownym wykorzystywaniu informacji sektora publicznego (Dz. U. …..)”.</w:t>
            </w:r>
          </w:p>
          <w:p w14:paraId="03D9B448" w14:textId="77777777" w:rsidR="009F3E66" w:rsidRPr="00FC1A02" w:rsidRDefault="009F3E66" w:rsidP="009F3E66">
            <w:pPr>
              <w:spacing w:before="120" w:after="0" w:line="240" w:lineRule="auto"/>
              <w:ind w:left="395"/>
              <w:jc w:val="both"/>
              <w:rPr>
                <w:rFonts w:ascii="Times New Roman" w:eastAsia="Times New Roman" w:hAnsi="Times New Roman" w:cs="Times New Roman"/>
                <w:color w:val="000000"/>
                <w:sz w:val="22"/>
                <w:szCs w:val="22"/>
                <w:lang w:eastAsia="en-US"/>
              </w:rPr>
            </w:pPr>
            <w:r w:rsidRPr="00FC1A02">
              <w:rPr>
                <w:rFonts w:ascii="Times New Roman" w:eastAsia="Times New Roman" w:hAnsi="Times New Roman" w:cs="Times New Roman"/>
                <w:color w:val="000000"/>
                <w:sz w:val="22"/>
                <w:szCs w:val="22"/>
                <w:lang w:eastAsia="en-US"/>
              </w:rPr>
              <w:t>Potrzeba dodanie pkt 16 w art. 2 ustawy o statystyce publicznej wynika z wykorzystywania tego pojęcia w szczególności w dodawanym ust. 1a w art. 13 ustawy o statystyce publicznej (</w:t>
            </w:r>
            <w:r w:rsidRPr="00FC1A02">
              <w:rPr>
                <w:rFonts w:ascii="Times New Roman" w:eastAsia="Times New Roman" w:hAnsi="Times New Roman" w:cs="Times New Roman"/>
                <w:i/>
                <w:color w:val="000000"/>
                <w:sz w:val="22"/>
                <w:szCs w:val="22"/>
                <w:lang w:eastAsia="en-US"/>
              </w:rPr>
              <w:t>vide</w:t>
            </w:r>
            <w:r w:rsidRPr="00FC1A02">
              <w:rPr>
                <w:rFonts w:ascii="Times New Roman" w:eastAsia="Times New Roman" w:hAnsi="Times New Roman" w:cs="Times New Roman"/>
                <w:color w:val="000000"/>
                <w:sz w:val="22"/>
                <w:szCs w:val="22"/>
                <w:lang w:eastAsia="en-US"/>
              </w:rPr>
              <w:t xml:space="preserve"> poniżej lit. b);</w:t>
            </w:r>
          </w:p>
          <w:p w14:paraId="51E5ECB8" w14:textId="77777777" w:rsidR="009F3E66" w:rsidRPr="00FC1A02" w:rsidRDefault="009F3E66" w:rsidP="009F3E66">
            <w:pPr>
              <w:numPr>
                <w:ilvl w:val="0"/>
                <w:numId w:val="10"/>
              </w:numPr>
              <w:spacing w:before="120" w:after="0" w:line="240" w:lineRule="auto"/>
              <w:ind w:left="395" w:hanging="357"/>
              <w:jc w:val="both"/>
              <w:rPr>
                <w:rFonts w:ascii="Times New Roman" w:eastAsia="Times New Roman" w:hAnsi="Times New Roman" w:cs="Times New Roman"/>
                <w:color w:val="000000"/>
                <w:sz w:val="22"/>
                <w:szCs w:val="22"/>
                <w:lang w:eastAsia="en-US"/>
              </w:rPr>
            </w:pPr>
            <w:r w:rsidRPr="00FC1A02">
              <w:rPr>
                <w:rFonts w:ascii="Times New Roman" w:eastAsia="Times New Roman" w:hAnsi="Times New Roman" w:cs="Times New Roman"/>
                <w:color w:val="000000"/>
                <w:sz w:val="22"/>
                <w:szCs w:val="22"/>
                <w:lang w:eastAsia="en-US"/>
              </w:rPr>
              <w:t>w art. 13 ustawy o statystyce publicznej po ust. 1 proponuje się dodanie ust. 1a w brzmieniu:</w:t>
            </w:r>
          </w:p>
          <w:p w14:paraId="7CB74261" w14:textId="77777777" w:rsidR="009F3E66" w:rsidRPr="00FC1A02" w:rsidRDefault="009F3E66" w:rsidP="009F3E66">
            <w:pPr>
              <w:spacing w:before="120" w:after="0" w:line="240" w:lineRule="auto"/>
              <w:ind w:left="679"/>
              <w:contextualSpacing/>
              <w:jc w:val="both"/>
              <w:rPr>
                <w:rFonts w:ascii="Times New Roman" w:eastAsia="Times New Roman" w:hAnsi="Times New Roman" w:cs="Times New Roman"/>
                <w:sz w:val="22"/>
                <w:szCs w:val="22"/>
                <w:lang w:eastAsia="en-US"/>
              </w:rPr>
            </w:pPr>
            <w:r w:rsidRPr="00FC1A02">
              <w:rPr>
                <w:rFonts w:ascii="Times New Roman" w:eastAsia="Times New Roman" w:hAnsi="Times New Roman" w:cs="Times New Roman"/>
                <w:sz w:val="22"/>
                <w:szCs w:val="22"/>
                <w:lang w:eastAsia="en-US"/>
              </w:rPr>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w tym danych osobowych zawierających się w katalogu danych, o których mowa w art. 35b ust. 1,  nieidentyfikowalnych lub zestawień zbiorczych.”.</w:t>
            </w:r>
          </w:p>
          <w:p w14:paraId="1D7A86E4" w14:textId="77777777" w:rsidR="009F3E66" w:rsidRPr="00FC1A02" w:rsidRDefault="009F3E66" w:rsidP="009F3E66">
            <w:pPr>
              <w:spacing w:before="0" w:after="0" w:line="240" w:lineRule="auto"/>
              <w:jc w:val="both"/>
              <w:rPr>
                <w:rFonts w:ascii="Times New Roman" w:eastAsiaTheme="minorHAnsi" w:hAnsi="Times New Roman" w:cs="Times New Roman"/>
                <w:sz w:val="22"/>
                <w:szCs w:val="22"/>
                <w:lang w:eastAsia="en-US"/>
              </w:rPr>
            </w:pPr>
            <w:r w:rsidRPr="00FC1A02">
              <w:rPr>
                <w:rFonts w:ascii="Times New Roman" w:eastAsiaTheme="minorHAnsi" w:hAnsi="Times New Roman" w:cs="Times New Roman"/>
                <w:sz w:val="22"/>
                <w:szCs w:val="22"/>
                <w:lang w:eastAsia="en-US"/>
              </w:rPr>
              <w:t xml:space="preserve">Zmiana w art. 13 ustawy o statystyce publicznej ma umożliwić szybkie udostępnianie  otwartych danych  przez Prezesa GUS  w szczególnych sytuacjach (np. pandemii, powodzi czy innych nieprzewidywalnych zdarzeń) co jest możliwe tylko w przypadku posiadania dostępu do danych źródłowych.  W takich sytuacjach Prezes GUS będzie uprawniony do występowania do organów i podmiotów </w:t>
            </w:r>
            <w:r w:rsidRPr="00FC1A02">
              <w:rPr>
                <w:rFonts w:ascii="Times New Roman" w:eastAsiaTheme="minorHAnsi" w:hAnsi="Times New Roman" w:cs="Times New Roman"/>
                <w:sz w:val="22"/>
                <w:szCs w:val="22"/>
                <w:lang w:eastAsia="en-US"/>
              </w:rPr>
              <w:lastRenderedPageBreak/>
              <w:t>wskazanych w art. 13 ust. 1 (tj. organów administracji publicznej, Zakładu Ubezpieczeń Społecznych, Narodowego Funduszu Zdrowia, a także innych państwowych lub samorządowych osób prawnych, organów rejestrowych oraz innych podmiotów prowadzących rejestry urzędowe lub systemy informacyjne administracji publicznej) o przekazanie lub udostępnienie służbom statystyki publicznej zgromadzonych danych jednostkowych identyfikowalnych, nieidentyfikowalnych lub zestawień statystycznych.</w:t>
            </w:r>
          </w:p>
          <w:p w14:paraId="009591DA" w14:textId="77777777" w:rsidR="009F3E66" w:rsidRPr="00FC1A02" w:rsidRDefault="009F3E66" w:rsidP="009F3E66">
            <w:pPr>
              <w:spacing w:before="0" w:after="0" w:line="240" w:lineRule="auto"/>
              <w:jc w:val="both"/>
              <w:rPr>
                <w:rFonts w:ascii="Times New Roman" w:eastAsiaTheme="minorHAnsi" w:hAnsi="Times New Roman" w:cs="Times New Roman"/>
                <w:sz w:val="22"/>
                <w:szCs w:val="22"/>
                <w:lang w:eastAsia="en-US"/>
              </w:rPr>
            </w:pPr>
            <w:r w:rsidRPr="00FC1A02">
              <w:rPr>
                <w:rFonts w:ascii="Times New Roman" w:eastAsiaTheme="minorHAnsi" w:hAnsi="Times New Roman" w:cs="Times New Roman"/>
                <w:sz w:val="22"/>
                <w:szCs w:val="22"/>
                <w:lang w:eastAsia="en-US"/>
              </w:rPr>
              <w:t>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14:paraId="05091471" w14:textId="77777777" w:rsidR="009F3E66" w:rsidRPr="00FC1A02" w:rsidRDefault="009F3E66" w:rsidP="009F3E66">
            <w:pPr>
              <w:numPr>
                <w:ilvl w:val="0"/>
                <w:numId w:val="11"/>
              </w:numPr>
              <w:spacing w:before="120" w:after="0" w:line="240" w:lineRule="auto"/>
              <w:ind w:left="395" w:hanging="357"/>
              <w:jc w:val="both"/>
              <w:rPr>
                <w:rFonts w:ascii="Times New Roman" w:eastAsia="Times New Roman" w:hAnsi="Times New Roman" w:cs="Times New Roman"/>
                <w:color w:val="000000"/>
                <w:sz w:val="22"/>
                <w:szCs w:val="22"/>
                <w:lang w:eastAsia="en-US"/>
              </w:rPr>
            </w:pPr>
            <w:r w:rsidRPr="00FC1A02">
              <w:rPr>
                <w:rFonts w:ascii="Times New Roman" w:eastAsia="Times New Roman" w:hAnsi="Times New Roman" w:cs="Times New Roman"/>
                <w:color w:val="000000"/>
                <w:sz w:val="22"/>
                <w:szCs w:val="22"/>
                <w:lang w:eastAsia="en-US"/>
              </w:rPr>
              <w:t>w art. 18 ustawy o statystyce publicznej w ust. 1 proponuje się dodanie pkt 10 w następującym brzmieniu:</w:t>
            </w:r>
          </w:p>
          <w:p w14:paraId="4861E807" w14:textId="77777777" w:rsidR="009F3E66" w:rsidRPr="001B1CF3" w:rsidRDefault="009F3E66" w:rsidP="009F3E66">
            <w:pPr>
              <w:spacing w:before="0" w:after="0" w:line="240" w:lineRule="auto"/>
              <w:ind w:left="820"/>
              <w:jc w:val="both"/>
              <w:rPr>
                <w:rFonts w:ascii="Times New Roman" w:eastAsia="Times New Roman" w:hAnsi="Times New Roman" w:cs="Times New Roman"/>
                <w:bCs/>
                <w:color w:val="000000"/>
                <w:sz w:val="22"/>
                <w:szCs w:val="22"/>
                <w:lang w:eastAsia="en-US"/>
              </w:rPr>
            </w:pPr>
            <w:r w:rsidRPr="00FC1A02">
              <w:rPr>
                <w:rFonts w:ascii="Times New Roman" w:eastAsia="Times New Roman" w:hAnsi="Times New Roman" w:cs="Times New Roman"/>
                <w:bCs/>
                <w:color w:val="000000"/>
                <w:sz w:val="22"/>
                <w:szCs w:val="22"/>
                <w:lang w:eastAsia="en-US"/>
              </w:rPr>
              <w:t>„10) zakres danych o wysokiej</w:t>
            </w:r>
            <w:r w:rsidRPr="001B1CF3">
              <w:rPr>
                <w:rFonts w:ascii="Times New Roman" w:eastAsia="Times New Roman" w:hAnsi="Times New Roman" w:cs="Times New Roman"/>
                <w:bCs/>
                <w:color w:val="000000"/>
                <w:sz w:val="22"/>
                <w:szCs w:val="22"/>
                <w:lang w:eastAsia="en-US"/>
              </w:rPr>
              <w:t xml:space="preserve"> wartości, w rozumieniu art. 2 pkt 4 ustawy z dnia … 2021 r. o otwartych danych i ponownym </w:t>
            </w:r>
            <w:r w:rsidRPr="001B1CF3">
              <w:rPr>
                <w:rFonts w:ascii="Times New Roman" w:eastAsia="Times New Roman" w:hAnsi="Times New Roman" w:cs="Times New Roman"/>
                <w:bCs/>
                <w:color w:val="000000"/>
                <w:sz w:val="22"/>
                <w:szCs w:val="22"/>
                <w:lang w:eastAsia="en-US"/>
              </w:rPr>
              <w:lastRenderedPageBreak/>
              <w:t>wykorzystywaniu informacji sektora publicznego wraz z:</w:t>
            </w:r>
          </w:p>
          <w:p w14:paraId="6F0F239F" w14:textId="77777777" w:rsidR="009F3E66" w:rsidRPr="001B1CF3" w:rsidRDefault="009F3E66" w:rsidP="009F3E66">
            <w:pPr>
              <w:numPr>
                <w:ilvl w:val="0"/>
                <w:numId w:val="12"/>
              </w:numPr>
              <w:spacing w:before="120" w:after="0" w:line="240" w:lineRule="auto"/>
              <w:ind w:left="1387"/>
              <w:contextualSpacing/>
              <w:jc w:val="both"/>
              <w:rPr>
                <w:rFonts w:ascii="Times New Roman" w:eastAsia="Times New Roman" w:hAnsi="Times New Roman" w:cs="Times New Roman"/>
                <w:bCs/>
                <w:color w:val="000000"/>
                <w:sz w:val="22"/>
                <w:szCs w:val="22"/>
                <w:lang w:eastAsia="en-US"/>
              </w:rPr>
            </w:pPr>
            <w:r w:rsidRPr="001B1CF3">
              <w:rPr>
                <w:rFonts w:ascii="Times New Roman" w:eastAsia="Times New Roman" w:hAnsi="Times New Roman" w:cs="Times New Roman"/>
                <w:bCs/>
                <w:color w:val="000000"/>
                <w:sz w:val="22"/>
                <w:szCs w:val="22"/>
                <w:lang w:eastAsia="en-US"/>
              </w:rPr>
              <w:t xml:space="preserve">harmonogramem udostępniania tych danych, </w:t>
            </w:r>
          </w:p>
          <w:p w14:paraId="32D68BDD" w14:textId="77777777" w:rsidR="009F3E66" w:rsidRPr="001B1CF3" w:rsidRDefault="009F3E66" w:rsidP="009F3E66">
            <w:pPr>
              <w:numPr>
                <w:ilvl w:val="0"/>
                <w:numId w:val="12"/>
              </w:numPr>
              <w:spacing w:before="120" w:after="0" w:line="240" w:lineRule="auto"/>
              <w:ind w:left="1387"/>
              <w:contextualSpacing/>
              <w:jc w:val="both"/>
              <w:rPr>
                <w:rFonts w:ascii="Times New Roman" w:eastAsia="Times New Roman" w:hAnsi="Times New Roman" w:cs="Times New Roman"/>
                <w:bCs/>
                <w:color w:val="000000"/>
                <w:sz w:val="22"/>
                <w:szCs w:val="22"/>
                <w:lang w:eastAsia="en-US"/>
              </w:rPr>
            </w:pPr>
            <w:r w:rsidRPr="001B1CF3">
              <w:rPr>
                <w:rFonts w:ascii="Times New Roman" w:eastAsia="Times New Roman" w:hAnsi="Times New Roman" w:cs="Times New Roman"/>
                <w:bCs/>
                <w:color w:val="000000"/>
                <w:sz w:val="22"/>
                <w:szCs w:val="22"/>
                <w:lang w:eastAsia="en-US"/>
              </w:rPr>
              <w:t xml:space="preserve">formatem i sposobem udostępniania tych danych, </w:t>
            </w:r>
          </w:p>
          <w:p w14:paraId="6BC075EC" w14:textId="77777777" w:rsidR="009F3E66" w:rsidRPr="001B1CF3" w:rsidRDefault="009F3E66" w:rsidP="009F3E66">
            <w:pPr>
              <w:numPr>
                <w:ilvl w:val="0"/>
                <w:numId w:val="12"/>
              </w:numPr>
              <w:spacing w:before="120" w:after="0" w:line="240" w:lineRule="auto"/>
              <w:ind w:left="1387" w:hanging="357"/>
              <w:jc w:val="both"/>
              <w:rPr>
                <w:rFonts w:ascii="Times New Roman" w:eastAsia="Times New Roman" w:hAnsi="Times New Roman" w:cs="Times New Roman"/>
                <w:bCs/>
                <w:color w:val="000000"/>
                <w:sz w:val="22"/>
                <w:szCs w:val="22"/>
                <w:lang w:eastAsia="en-US"/>
              </w:rPr>
            </w:pPr>
            <w:r w:rsidRPr="001B1CF3">
              <w:rPr>
                <w:rFonts w:ascii="Times New Roman" w:eastAsia="Times New Roman" w:hAnsi="Times New Roman" w:cs="Times New Roman"/>
                <w:bCs/>
                <w:color w:val="000000"/>
                <w:sz w:val="22"/>
                <w:szCs w:val="22"/>
                <w:lang w:eastAsia="en-US"/>
              </w:rPr>
              <w:t>częstotliwością aktualizacji tych danych i związanych z nimi metadanych”.</w:t>
            </w:r>
          </w:p>
          <w:p w14:paraId="5178DA5E" w14:textId="7F1B585F" w:rsidR="00154DA3" w:rsidRPr="008A3702" w:rsidRDefault="00406F3B" w:rsidP="00406F3B">
            <w:pPr>
              <w:spacing w:before="0" w:after="0" w:line="240" w:lineRule="auto"/>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Jak wyżej wskazano, </w:t>
            </w:r>
            <w:r w:rsidR="009F3E66" w:rsidRPr="0070516C">
              <w:rPr>
                <w:rFonts w:ascii="Times New Roman" w:eastAsiaTheme="minorHAnsi" w:hAnsi="Times New Roman" w:cs="Times New Roman"/>
                <w:sz w:val="22"/>
                <w:szCs w:val="22"/>
                <w:lang w:eastAsia="en-US"/>
              </w:rPr>
              <w:t>z</w:t>
            </w:r>
            <w:r>
              <w:rPr>
                <w:rFonts w:ascii="Times New Roman" w:eastAsiaTheme="minorHAnsi" w:hAnsi="Times New Roman" w:cs="Times New Roman"/>
                <w:sz w:val="22"/>
                <w:szCs w:val="22"/>
                <w:lang w:eastAsia="en-US"/>
              </w:rPr>
              <w:t>miana w art. 18 ust. 1 ustawy o </w:t>
            </w:r>
            <w:r w:rsidR="009F3E66" w:rsidRPr="0070516C">
              <w:rPr>
                <w:rFonts w:ascii="Times New Roman" w:eastAsiaTheme="minorHAnsi" w:hAnsi="Times New Roman" w:cs="Times New Roman"/>
                <w:sz w:val="22"/>
                <w:szCs w:val="22"/>
                <w:lang w:eastAsia="en-US"/>
              </w:rPr>
              <w:t>statystyce publiczn</w:t>
            </w:r>
            <w:r>
              <w:rPr>
                <w:rFonts w:ascii="Times New Roman" w:eastAsiaTheme="minorHAnsi" w:hAnsi="Times New Roman" w:cs="Times New Roman"/>
                <w:sz w:val="22"/>
                <w:szCs w:val="22"/>
                <w:lang w:eastAsia="en-US"/>
              </w:rPr>
              <w:t>ej jest bezpośrednio związana z </w:t>
            </w:r>
            <w:r w:rsidR="009F3E66" w:rsidRPr="0070516C">
              <w:rPr>
                <w:rFonts w:ascii="Times New Roman" w:eastAsiaTheme="minorHAnsi" w:hAnsi="Times New Roman" w:cs="Times New Roman"/>
                <w:sz w:val="22"/>
                <w:szCs w:val="22"/>
                <w:lang w:eastAsia="en-US"/>
              </w:rPr>
              <w:t>propozycją dotyczącą dodania art. 26a projektowanej ustawy i</w:t>
            </w:r>
            <w:r w:rsidR="009F3E66" w:rsidRPr="009F3E66">
              <w:rPr>
                <w:rFonts w:ascii="Times New Roman" w:eastAsiaTheme="minorHAnsi" w:hAnsi="Times New Roman" w:cs="Times New Roman"/>
                <w:sz w:val="22"/>
                <w:szCs w:val="22"/>
                <w:lang w:eastAsia="en-US"/>
              </w:rPr>
              <w:t xml:space="preserve"> ma na celu implementację dyrektywy 2019/1024 w zakresie odnoszącym się do ponownego wykorzystywania danych o wysokiej wartości z badań statystycznych objętych programem badań statystycznych statystyki publicznej. Program ten ustalany jest corocznie w drodze rozporządzenia Rady Ministrów, wydawanego na podstawie art. 18 ust. 1 ustawy o statystyce publicznej.</w:t>
            </w:r>
          </w:p>
        </w:tc>
        <w:tc>
          <w:tcPr>
            <w:tcW w:w="4785" w:type="dxa"/>
            <w:shd w:val="clear" w:color="auto" w:fill="auto"/>
          </w:tcPr>
          <w:p w14:paraId="245E16E6" w14:textId="77777777" w:rsidR="009F3E66" w:rsidRPr="005D4EC4" w:rsidRDefault="009F3E66" w:rsidP="009F3E66">
            <w:pPr>
              <w:spacing w:before="0" w:after="0" w:line="259" w:lineRule="auto"/>
              <w:rPr>
                <w:rFonts w:ascii="Times New Roman" w:eastAsiaTheme="minorHAnsi" w:hAnsi="Times New Roman" w:cs="Times New Roman"/>
                <w:sz w:val="22"/>
                <w:szCs w:val="22"/>
                <w:lang w:eastAsia="en-US"/>
              </w:rPr>
            </w:pPr>
            <w:r w:rsidRPr="005D4EC4">
              <w:rPr>
                <w:rFonts w:ascii="Times New Roman" w:eastAsiaTheme="minorHAnsi" w:hAnsi="Times New Roman" w:cs="Times New Roman"/>
                <w:sz w:val="22"/>
                <w:szCs w:val="22"/>
                <w:lang w:eastAsia="en-US"/>
              </w:rPr>
              <w:lastRenderedPageBreak/>
              <w:t xml:space="preserve">Uwaga uwzględniona częściowo </w:t>
            </w:r>
          </w:p>
          <w:p w14:paraId="48A14BB9" w14:textId="77777777" w:rsidR="009F3E66" w:rsidRDefault="009F3E66" w:rsidP="005D4EC4">
            <w:pPr>
              <w:spacing w:before="0" w:after="0" w:line="240" w:lineRule="auto"/>
              <w:jc w:val="both"/>
              <w:rPr>
                <w:rFonts w:ascii="Times New Roman" w:eastAsiaTheme="minorHAnsi" w:hAnsi="Times New Roman" w:cs="Times New Roman"/>
                <w:sz w:val="22"/>
                <w:szCs w:val="22"/>
                <w:lang w:eastAsia="en-US"/>
              </w:rPr>
            </w:pPr>
            <w:r w:rsidRPr="005D4EC4">
              <w:rPr>
                <w:rFonts w:ascii="Times New Roman" w:eastAsiaTheme="minorHAnsi" w:hAnsi="Times New Roman" w:cs="Times New Roman"/>
                <w:sz w:val="22"/>
                <w:szCs w:val="22"/>
                <w:lang w:eastAsia="en-US"/>
              </w:rPr>
              <w:t xml:space="preserve">1. Uwaga uwzględniona w zakresie pkt a i b – dodatkowe uwagi GUS zgłoszone po konferencji </w:t>
            </w:r>
            <w:r w:rsidRPr="005D4EC4">
              <w:rPr>
                <w:rFonts w:ascii="Times New Roman" w:eastAsiaTheme="minorHAnsi" w:hAnsi="Times New Roman" w:cs="Times New Roman"/>
                <w:sz w:val="22"/>
                <w:szCs w:val="22"/>
                <w:lang w:eastAsia="en-US"/>
              </w:rPr>
              <w:lastRenderedPageBreak/>
              <w:t>uzgodnieniowej (pismo z 10.12.2020 r., GUS-GP03.0201.341.2020.97).</w:t>
            </w:r>
          </w:p>
          <w:p w14:paraId="32973A16" w14:textId="0D9FAFDB" w:rsidR="005D4EC4" w:rsidRDefault="005D4EC4" w:rsidP="005D4EC4">
            <w:pPr>
              <w:spacing w:before="0" w:after="0" w:line="240" w:lineRule="auto"/>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Właściwe przepisy zostaną dodane do projektu ustawy.</w:t>
            </w:r>
          </w:p>
          <w:p w14:paraId="422A1B42" w14:textId="77777777" w:rsidR="005D4EC4" w:rsidRPr="005D4EC4" w:rsidRDefault="005D4EC4" w:rsidP="005D4EC4">
            <w:pPr>
              <w:spacing w:before="0" w:after="0" w:line="240" w:lineRule="auto"/>
              <w:jc w:val="both"/>
              <w:rPr>
                <w:rFonts w:ascii="Times New Roman" w:eastAsiaTheme="minorHAnsi" w:hAnsi="Times New Roman" w:cs="Times New Roman"/>
                <w:sz w:val="22"/>
                <w:szCs w:val="22"/>
                <w:lang w:eastAsia="en-US"/>
              </w:rPr>
            </w:pPr>
          </w:p>
          <w:p w14:paraId="6A63A61A" w14:textId="2EDE3577" w:rsidR="005B7E86" w:rsidRPr="009F3E66" w:rsidRDefault="005B7E86" w:rsidP="009F3E66">
            <w:pPr>
              <w:spacing w:before="0" w:after="160" w:line="259" w:lineRule="auto"/>
              <w:jc w:val="both"/>
              <w:rPr>
                <w:rFonts w:ascii="Times New Roman" w:eastAsiaTheme="minorHAnsi" w:hAnsi="Times New Roman" w:cs="Times New Roman"/>
                <w:sz w:val="22"/>
                <w:szCs w:val="22"/>
                <w:lang w:eastAsia="en-US"/>
              </w:rPr>
            </w:pPr>
            <w:r w:rsidRPr="005B7E86">
              <w:rPr>
                <w:rFonts w:ascii="Times New Roman" w:eastAsiaTheme="minorHAnsi" w:hAnsi="Times New Roman" w:cs="Times New Roman"/>
                <w:sz w:val="22"/>
                <w:szCs w:val="22"/>
                <w:lang w:eastAsia="en-US"/>
              </w:rPr>
              <w:t xml:space="preserve">Wyjaśnienie – w zakresie pkt a i b uwaga obejmuje uwagę nr 182 i 183 w zestawieniu uwag po konferencji uzgodnieniowej. </w:t>
            </w:r>
          </w:p>
          <w:p w14:paraId="6EE2CDB3" w14:textId="77777777" w:rsidR="009F3E66" w:rsidRPr="009F3E66" w:rsidRDefault="009F3E66" w:rsidP="009F3E66">
            <w:pPr>
              <w:spacing w:before="0" w:after="0" w:line="259"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2. Uwaga nieuwzględniona w zakresie  pkt c - dodatkowe uwagi GUS zgłoszone po konferencji uzgodnieniowej (pismo z 10.12.2020 r., GUS-GP03.0201.341.2020.97).</w:t>
            </w:r>
          </w:p>
          <w:p w14:paraId="0DFA2F89" w14:textId="75DCCC51" w:rsidR="009F3E66" w:rsidRPr="009F3E66" w:rsidRDefault="009F3E66" w:rsidP="009F3E66">
            <w:pPr>
              <w:spacing w:before="0" w:after="0" w:line="259" w:lineRule="auto"/>
              <w:jc w:val="both"/>
              <w:rPr>
                <w:rFonts w:ascii="Times New Roman" w:eastAsiaTheme="minorHAnsi" w:hAnsi="Times New Roman" w:cs="Times New Roman"/>
                <w:sz w:val="22"/>
                <w:szCs w:val="22"/>
                <w:lang w:eastAsia="en-US"/>
              </w:rPr>
            </w:pPr>
            <w:r w:rsidRPr="009F3E66">
              <w:rPr>
                <w:rFonts w:ascii="Times New Roman" w:eastAsiaTheme="minorHAnsi" w:hAnsi="Times New Roman" w:cs="Times New Roman"/>
                <w:sz w:val="22"/>
                <w:szCs w:val="22"/>
                <w:lang w:eastAsia="en-US"/>
              </w:rPr>
              <w:t>Uwaga nieuwzglę</w:t>
            </w:r>
            <w:r w:rsidR="005D4EC4">
              <w:rPr>
                <w:rFonts w:ascii="Times New Roman" w:eastAsiaTheme="minorHAnsi" w:hAnsi="Times New Roman" w:cs="Times New Roman"/>
                <w:sz w:val="22"/>
                <w:szCs w:val="22"/>
                <w:lang w:eastAsia="en-US"/>
              </w:rPr>
              <w:t>dniona w związku z nieuwzględnie</w:t>
            </w:r>
            <w:r w:rsidRPr="009F3E66">
              <w:rPr>
                <w:rFonts w:ascii="Times New Roman" w:eastAsiaTheme="minorHAnsi" w:hAnsi="Times New Roman" w:cs="Times New Roman"/>
                <w:sz w:val="22"/>
                <w:szCs w:val="22"/>
                <w:lang w:eastAsia="en-US"/>
              </w:rPr>
              <w:t>niem uwagi nr 2</w:t>
            </w:r>
            <w:r w:rsidR="00C43604">
              <w:rPr>
                <w:rFonts w:ascii="Times New Roman" w:eastAsiaTheme="minorHAnsi" w:hAnsi="Times New Roman" w:cs="Times New Roman"/>
                <w:sz w:val="22"/>
                <w:szCs w:val="22"/>
                <w:lang w:eastAsia="en-US"/>
              </w:rPr>
              <w:t>5</w:t>
            </w:r>
            <w:r w:rsidR="00E45AB7">
              <w:rPr>
                <w:rFonts w:ascii="Times New Roman" w:eastAsiaTheme="minorHAnsi" w:hAnsi="Times New Roman" w:cs="Times New Roman"/>
                <w:sz w:val="22"/>
                <w:szCs w:val="22"/>
                <w:lang w:eastAsia="en-US"/>
              </w:rPr>
              <w:t xml:space="preserve"> (dotyczącej danych o wysokiej wartości)</w:t>
            </w:r>
            <w:r w:rsidRPr="009F3E66">
              <w:rPr>
                <w:rFonts w:ascii="Times New Roman" w:eastAsiaTheme="minorHAnsi" w:hAnsi="Times New Roman" w:cs="Times New Roman"/>
                <w:sz w:val="22"/>
                <w:szCs w:val="22"/>
                <w:lang w:eastAsia="en-US"/>
              </w:rPr>
              <w:t xml:space="preserve">. </w:t>
            </w:r>
          </w:p>
          <w:p w14:paraId="51FE56A3" w14:textId="77777777" w:rsidR="00154DA3" w:rsidRPr="008A3702" w:rsidRDefault="00154DA3" w:rsidP="008A3702">
            <w:pPr>
              <w:spacing w:before="0" w:after="0" w:line="240" w:lineRule="auto"/>
              <w:rPr>
                <w:rFonts w:ascii="Times New Roman" w:eastAsiaTheme="minorHAnsi" w:hAnsi="Times New Roman" w:cs="Times New Roman"/>
                <w:sz w:val="22"/>
                <w:szCs w:val="22"/>
                <w:lang w:eastAsia="en-US"/>
              </w:rPr>
            </w:pPr>
          </w:p>
        </w:tc>
      </w:tr>
    </w:tbl>
    <w:p w14:paraId="4AD4FE68" w14:textId="64647D61" w:rsidR="007566CB" w:rsidRPr="008A3702" w:rsidRDefault="007566CB" w:rsidP="008A3702"/>
    <w:sectPr w:rsidR="007566CB" w:rsidRPr="008A3702" w:rsidSect="008A3702">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0E98F" w14:textId="77777777" w:rsidR="00B64A6B" w:rsidRDefault="00B64A6B" w:rsidP="006B6BE5">
      <w:pPr>
        <w:spacing w:before="0" w:after="0" w:line="240" w:lineRule="auto"/>
      </w:pPr>
      <w:r>
        <w:separator/>
      </w:r>
    </w:p>
  </w:endnote>
  <w:endnote w:type="continuationSeparator" w:id="0">
    <w:p w14:paraId="4C684A43" w14:textId="77777777" w:rsidR="00B64A6B" w:rsidRDefault="00B64A6B" w:rsidP="006B6B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3903128"/>
      <w:docPartObj>
        <w:docPartGallery w:val="Page Numbers (Bottom of Page)"/>
        <w:docPartUnique/>
      </w:docPartObj>
    </w:sdtPr>
    <w:sdtEndPr/>
    <w:sdtContent>
      <w:p w14:paraId="2FE74A01" w14:textId="6F2E6BE6" w:rsidR="00691330" w:rsidRDefault="00691330">
        <w:pPr>
          <w:pStyle w:val="Stopka"/>
          <w:jc w:val="right"/>
        </w:pPr>
        <w:r>
          <w:fldChar w:fldCharType="begin"/>
        </w:r>
        <w:r>
          <w:instrText>PAGE   \* MERGEFORMAT</w:instrText>
        </w:r>
        <w:r>
          <w:fldChar w:fldCharType="separate"/>
        </w:r>
        <w:r w:rsidR="005524C1">
          <w:rPr>
            <w:noProof/>
          </w:rPr>
          <w:t>1</w:t>
        </w:r>
        <w:r>
          <w:fldChar w:fldCharType="end"/>
        </w:r>
      </w:p>
    </w:sdtContent>
  </w:sdt>
  <w:p w14:paraId="3211EACF" w14:textId="77777777" w:rsidR="00691330" w:rsidRDefault="006913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D63BB" w14:textId="77777777" w:rsidR="00B64A6B" w:rsidRDefault="00B64A6B" w:rsidP="006B6BE5">
      <w:pPr>
        <w:spacing w:before="0" w:after="0" w:line="240" w:lineRule="auto"/>
      </w:pPr>
      <w:r>
        <w:separator/>
      </w:r>
    </w:p>
  </w:footnote>
  <w:footnote w:type="continuationSeparator" w:id="0">
    <w:p w14:paraId="04A75CB7" w14:textId="77777777" w:rsidR="00B64A6B" w:rsidRDefault="00B64A6B" w:rsidP="006B6BE5">
      <w:pPr>
        <w:spacing w:before="0" w:after="0" w:line="240" w:lineRule="auto"/>
      </w:pPr>
      <w:r>
        <w:continuationSeparator/>
      </w:r>
    </w:p>
  </w:footnote>
  <w:footnote w:id="1">
    <w:p w14:paraId="25E74D4E" w14:textId="6F334934" w:rsidR="008B66F2" w:rsidRPr="009A2628" w:rsidRDefault="008B66F2" w:rsidP="006B6BE5">
      <w:pPr>
        <w:pStyle w:val="Tekstprzypisudolnego"/>
        <w:rPr>
          <w:rFonts w:ascii="Times New Roman" w:hAnsi="Times New Roman" w:cs="Times New Roman"/>
        </w:rPr>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Obwieszczenie Komisji „Wytyczne sprawie zalecanych licencji standardowych, zbiorów danych i opłat za ponowne wykorzystanie doku</w:t>
      </w:r>
      <w:r w:rsidR="009A2628">
        <w:rPr>
          <w:rFonts w:ascii="Times New Roman" w:hAnsi="Times New Roman" w:cs="Times New Roman"/>
        </w:rPr>
        <w:t xml:space="preserve">mentów” 2014/C 240/01, Dz. Urz. </w:t>
      </w:r>
      <w:r w:rsidRPr="009A2628">
        <w:rPr>
          <w:rFonts w:ascii="Times New Roman" w:hAnsi="Times New Roman" w:cs="Times New Roman"/>
        </w:rPr>
        <w:t xml:space="preserve">UE C 240 z 24.07.2014, str. 1; </w:t>
      </w:r>
      <w:hyperlink r:id="rId1" w:history="1">
        <w:r w:rsidRPr="009A2628">
          <w:rPr>
            <w:rStyle w:val="Hipercze"/>
            <w:rFonts w:ascii="Times New Roman" w:hAnsi="Times New Roman" w:cs="Times New Roman"/>
          </w:rPr>
          <w:t>https://eur-lex.europa.eu/legal-content/PL/TXT/?uri=CELEX%3A52014XC0724%2801%29</w:t>
        </w:r>
      </w:hyperlink>
      <w:r w:rsidRPr="009A2628">
        <w:rPr>
          <w:rFonts w:ascii="Times New Roman" w:hAnsi="Times New Roman" w:cs="Times New Roman"/>
        </w:rPr>
        <w:t xml:space="preserve">. </w:t>
      </w:r>
    </w:p>
  </w:footnote>
  <w:footnote w:id="2">
    <w:p w14:paraId="358D7A09" w14:textId="7EED6E90" w:rsidR="008B66F2" w:rsidRDefault="008B66F2" w:rsidP="006B6BE5">
      <w:pPr>
        <w:pStyle w:val="Tekstprzypisudolnego"/>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t>
      </w:r>
      <w:hyperlink r:id="rId2" w:history="1">
        <w:r w:rsidRPr="009A2628">
          <w:rPr>
            <w:rStyle w:val="Hipercze"/>
            <w:rFonts w:ascii="Times New Roman" w:hAnsi="Times New Roman" w:cs="Times New Roman"/>
          </w:rPr>
          <w:t>http://opendefinition.org/</w:t>
        </w:r>
      </w:hyperlink>
      <w:r>
        <w:t xml:space="preserve"> </w:t>
      </w:r>
    </w:p>
  </w:footnote>
  <w:footnote w:id="3">
    <w:p w14:paraId="0F8F76CD" w14:textId="1D8C520B" w:rsidR="008B66F2" w:rsidRPr="009A2628" w:rsidRDefault="008B66F2" w:rsidP="006B6BE5">
      <w:pPr>
        <w:pStyle w:val="Tekstprzypisudolnego"/>
        <w:rPr>
          <w:rFonts w:ascii="Times New Roman" w:hAnsi="Times New Roman" w:cs="Times New Roman"/>
        </w:rPr>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t>
      </w:r>
      <w:hyperlink r:id="rId3" w:history="1">
        <w:r w:rsidRPr="009A2628">
          <w:rPr>
            <w:rStyle w:val="Hipercze"/>
            <w:rFonts w:ascii="Times New Roman" w:hAnsi="Times New Roman" w:cs="Times New Roman"/>
          </w:rPr>
          <w:t>http://creativecommons.org/licenses/</w:t>
        </w:r>
      </w:hyperlink>
      <w:r w:rsidRPr="009A2628">
        <w:rPr>
          <w:rFonts w:ascii="Times New Roman" w:hAnsi="Times New Roman" w:cs="Times New Roman"/>
        </w:rPr>
        <w:t xml:space="preserve"> </w:t>
      </w:r>
    </w:p>
  </w:footnote>
  <w:footnote w:id="4">
    <w:p w14:paraId="0DCD4D8C" w14:textId="2B34371B" w:rsidR="008B66F2" w:rsidRPr="009A2628" w:rsidRDefault="008B66F2" w:rsidP="000E44F7">
      <w:pPr>
        <w:pStyle w:val="Tekstprzypisudolnego"/>
        <w:jc w:val="both"/>
        <w:rPr>
          <w:rFonts w:ascii="Times New Roman" w:hAnsi="Times New Roman" w:cs="Times New Roman"/>
        </w:rPr>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Dyrektywa Parlamentu Europejskiego i Rady z dnia 17 listopada 2003 r. w sprawie ponownego wykorzystywania informacji sektora publicznego (Dz. Urz. UE L 345 z dnia 31.12.2003, str. 90) zmienionej dyrektywą 2013/37/UE Parlamentu Europejskiego i Rady z dnia z dnia 26 czerwca 2013 r. zmieniającą dyrektywę 2003/98/WE w sprawie ponownego wykorzystywania informacji sektora publicznego (Dz. Urz. UE L 175 z dnia 27.06.2013, str. 1). </w:t>
      </w:r>
    </w:p>
  </w:footnote>
  <w:footnote w:id="5">
    <w:p w14:paraId="1824BABF" w14:textId="704C1B3B" w:rsidR="008B66F2" w:rsidRPr="009A2628" w:rsidRDefault="008B66F2" w:rsidP="00B37F04">
      <w:pPr>
        <w:pStyle w:val="Tekstprzypisudolnego"/>
        <w:jc w:val="both"/>
        <w:rPr>
          <w:rFonts w:ascii="Times New Roman" w:hAnsi="Times New Roman" w:cs="Times New Roman"/>
        </w:rPr>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6">
    <w:p w14:paraId="541CDE6B" w14:textId="32BD8A17" w:rsidR="008B66F2" w:rsidRDefault="008B66F2" w:rsidP="00B37F04">
      <w:pPr>
        <w:pStyle w:val="Tekstprzypisudolnego"/>
        <w:jc w:val="both"/>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 w:id="7">
    <w:p w14:paraId="728D8F14" w14:textId="6E634B4F" w:rsidR="008B66F2" w:rsidRPr="009A2628" w:rsidRDefault="008B66F2" w:rsidP="00C57095">
      <w:pPr>
        <w:pStyle w:val="Tekstprzypisudolnego"/>
        <w:jc w:val="both"/>
        <w:rPr>
          <w:rFonts w:ascii="Times New Roman" w:hAnsi="Times New Roman" w:cs="Times New Roman"/>
        </w:rPr>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8">
    <w:p w14:paraId="3BB6D4CC" w14:textId="724D0796" w:rsidR="008B66F2" w:rsidRDefault="008B66F2" w:rsidP="00C57095">
      <w:pPr>
        <w:pStyle w:val="Tekstprzypisudolnego"/>
        <w:jc w:val="both"/>
      </w:pPr>
      <w:r w:rsidRPr="009A2628">
        <w:rPr>
          <w:rStyle w:val="Odwoanieprzypisudolnego"/>
          <w:rFonts w:ascii="Times New Roman" w:hAnsi="Times New Roman" w:cs="Times New Roman"/>
        </w:rPr>
        <w:footnoteRef/>
      </w:r>
      <w:r w:rsidR="009A2628" w:rsidRPr="009A2628">
        <w:rPr>
          <w:rFonts w:ascii="Times New Roman" w:hAnsi="Times New Roman" w:cs="Times New Roman"/>
          <w:vertAlign w:val="superscript"/>
        </w:rPr>
        <w:t>)</w:t>
      </w:r>
      <w:r w:rsidRPr="009A2628">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51C5F"/>
    <w:multiLevelType w:val="hybridMultilevel"/>
    <w:tmpl w:val="7E7484FC"/>
    <w:lvl w:ilvl="0" w:tplc="818690D8">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7A84528"/>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2C3930A3"/>
    <w:multiLevelType w:val="hybridMultilevel"/>
    <w:tmpl w:val="5754C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2F6573C3"/>
    <w:multiLevelType w:val="hybridMultilevel"/>
    <w:tmpl w:val="B49411B4"/>
    <w:lvl w:ilvl="0" w:tplc="9EA818A2">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4">
    <w:nsid w:val="31ED135D"/>
    <w:multiLevelType w:val="hybridMultilevel"/>
    <w:tmpl w:val="29F4D33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CA10920"/>
    <w:multiLevelType w:val="hybridMultilevel"/>
    <w:tmpl w:val="658E85AA"/>
    <w:lvl w:ilvl="0" w:tplc="78D87CD0">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4D9C1863"/>
    <w:multiLevelType w:val="hybridMultilevel"/>
    <w:tmpl w:val="6F6E5A8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7">
    <w:nsid w:val="57F47D34"/>
    <w:multiLevelType w:val="hybridMultilevel"/>
    <w:tmpl w:val="4E044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1BF334E"/>
    <w:multiLevelType w:val="hybridMultilevel"/>
    <w:tmpl w:val="8814F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5620B8A"/>
    <w:multiLevelType w:val="hybridMultilevel"/>
    <w:tmpl w:val="B644D9BC"/>
    <w:lvl w:ilvl="0" w:tplc="25E6667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6D76A7F"/>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9"/>
  </w:num>
  <w:num w:numId="2">
    <w:abstractNumId w:val="3"/>
  </w:num>
  <w:num w:numId="3">
    <w:abstractNumId w:val="4"/>
  </w:num>
  <w:num w:numId="4">
    <w:abstractNumId w:val="2"/>
  </w:num>
  <w:num w:numId="5">
    <w:abstractNumId w:val="6"/>
  </w:num>
  <w:num w:numId="6">
    <w:abstractNumId w:val="11"/>
  </w:num>
  <w:num w:numId="7">
    <w:abstractNumId w:val="7"/>
  </w:num>
  <w:num w:numId="8">
    <w:abstractNumId w:val="8"/>
  </w:num>
  <w:num w:numId="9">
    <w:abstractNumId w:val="5"/>
  </w:num>
  <w:num w:numId="10">
    <w:abstractNumId w:val="10"/>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36"/>
    <w:rsid w:val="00007216"/>
    <w:rsid w:val="00034AE3"/>
    <w:rsid w:val="00042748"/>
    <w:rsid w:val="00074AA6"/>
    <w:rsid w:val="000B16F5"/>
    <w:rsid w:val="000E44F7"/>
    <w:rsid w:val="00154DA3"/>
    <w:rsid w:val="001B1CF3"/>
    <w:rsid w:val="001B6025"/>
    <w:rsid w:val="002A53D7"/>
    <w:rsid w:val="002D12FD"/>
    <w:rsid w:val="00351993"/>
    <w:rsid w:val="003D2274"/>
    <w:rsid w:val="003D5BFD"/>
    <w:rsid w:val="00406F3B"/>
    <w:rsid w:val="004A5410"/>
    <w:rsid w:val="005356A3"/>
    <w:rsid w:val="005524C1"/>
    <w:rsid w:val="005B7E86"/>
    <w:rsid w:val="005D4EC4"/>
    <w:rsid w:val="005D51AB"/>
    <w:rsid w:val="005D76D5"/>
    <w:rsid w:val="005E14A1"/>
    <w:rsid w:val="00643C4C"/>
    <w:rsid w:val="00691330"/>
    <w:rsid w:val="00692F23"/>
    <w:rsid w:val="006B6BE5"/>
    <w:rsid w:val="006C6951"/>
    <w:rsid w:val="006F001D"/>
    <w:rsid w:val="00702855"/>
    <w:rsid w:val="0070516C"/>
    <w:rsid w:val="007520F3"/>
    <w:rsid w:val="007566CB"/>
    <w:rsid w:val="008075E0"/>
    <w:rsid w:val="00827108"/>
    <w:rsid w:val="00850390"/>
    <w:rsid w:val="00855FC2"/>
    <w:rsid w:val="008841C5"/>
    <w:rsid w:val="008A3702"/>
    <w:rsid w:val="008B66F2"/>
    <w:rsid w:val="008C0B78"/>
    <w:rsid w:val="008D3B5C"/>
    <w:rsid w:val="00913925"/>
    <w:rsid w:val="00933290"/>
    <w:rsid w:val="00960B3B"/>
    <w:rsid w:val="009776EC"/>
    <w:rsid w:val="009A2628"/>
    <w:rsid w:val="009B3E2E"/>
    <w:rsid w:val="009F3E66"/>
    <w:rsid w:val="00B37F04"/>
    <w:rsid w:val="00B64A6B"/>
    <w:rsid w:val="00C36248"/>
    <w:rsid w:val="00C43604"/>
    <w:rsid w:val="00C52FEB"/>
    <w:rsid w:val="00C57095"/>
    <w:rsid w:val="00C9140D"/>
    <w:rsid w:val="00D30F80"/>
    <w:rsid w:val="00DC0A67"/>
    <w:rsid w:val="00E06FAF"/>
    <w:rsid w:val="00E22FA1"/>
    <w:rsid w:val="00E35D35"/>
    <w:rsid w:val="00E45AB7"/>
    <w:rsid w:val="00EC6764"/>
    <w:rsid w:val="00EE2836"/>
    <w:rsid w:val="00F73818"/>
    <w:rsid w:val="00FC1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A504B"/>
  <w15:chartTrackingRefBased/>
  <w15:docId w15:val="{E99AEC5B-A0DA-4943-AC47-0DCA0FA4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3702"/>
    <w:pPr>
      <w:spacing w:before="100" w:after="200" w:line="276" w:lineRule="auto"/>
    </w:pPr>
    <w:rPr>
      <w:rFonts w:eastAsiaTheme="minorEastAsia"/>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A3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8A3702"/>
    <w:rPr>
      <w:sz w:val="16"/>
      <w:szCs w:val="16"/>
    </w:rPr>
  </w:style>
  <w:style w:type="paragraph" w:styleId="Tekstkomentarza">
    <w:name w:val="annotation text"/>
    <w:basedOn w:val="Normalny"/>
    <w:link w:val="TekstkomentarzaZnak"/>
    <w:uiPriority w:val="99"/>
    <w:unhideWhenUsed/>
    <w:rsid w:val="008A3702"/>
    <w:pPr>
      <w:spacing w:before="0" w:after="160" w:line="240" w:lineRule="auto"/>
    </w:pPr>
    <w:rPr>
      <w:rFonts w:eastAsiaTheme="minorHAnsi"/>
      <w:lang w:eastAsia="en-US"/>
    </w:rPr>
  </w:style>
  <w:style w:type="character" w:customStyle="1" w:styleId="TekstkomentarzaZnak">
    <w:name w:val="Tekst komentarza Znak"/>
    <w:basedOn w:val="Domylnaczcionkaakapitu"/>
    <w:link w:val="Tekstkomentarza"/>
    <w:uiPriority w:val="99"/>
    <w:rsid w:val="008A3702"/>
    <w:rPr>
      <w:sz w:val="20"/>
      <w:szCs w:val="20"/>
    </w:rPr>
  </w:style>
  <w:style w:type="paragraph" w:styleId="Tekstdymka">
    <w:name w:val="Balloon Text"/>
    <w:basedOn w:val="Normalny"/>
    <w:link w:val="TekstdymkaZnak"/>
    <w:uiPriority w:val="99"/>
    <w:semiHidden/>
    <w:unhideWhenUsed/>
    <w:rsid w:val="008A3702"/>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3702"/>
    <w:rPr>
      <w:rFonts w:ascii="Segoe UI" w:eastAsiaTheme="minorEastAsia" w:hAnsi="Segoe UI" w:cs="Segoe UI"/>
      <w:sz w:val="18"/>
      <w:szCs w:val="18"/>
      <w:lang w:eastAsia="pl-PL"/>
    </w:rPr>
  </w:style>
  <w:style w:type="character" w:styleId="Hipercze">
    <w:name w:val="Hyperlink"/>
    <w:basedOn w:val="Domylnaczcionkaakapitu"/>
    <w:uiPriority w:val="99"/>
    <w:unhideWhenUsed/>
    <w:rsid w:val="006B6BE5"/>
    <w:rPr>
      <w:color w:val="0563C1" w:themeColor="hyperlink"/>
      <w:u w:val="single"/>
    </w:rPr>
  </w:style>
  <w:style w:type="paragraph" w:styleId="Tekstprzypisudolnego">
    <w:name w:val="footnote text"/>
    <w:basedOn w:val="Normalny"/>
    <w:link w:val="TekstprzypisudolnegoZnak"/>
    <w:uiPriority w:val="99"/>
    <w:semiHidden/>
    <w:unhideWhenUsed/>
    <w:rsid w:val="006B6BE5"/>
    <w:pPr>
      <w:spacing w:before="0" w:after="0" w:line="240" w:lineRule="auto"/>
    </w:pPr>
    <w:rPr>
      <w:rFonts w:eastAsiaTheme="minorHAnsi"/>
      <w:lang w:eastAsia="en-US"/>
    </w:rPr>
  </w:style>
  <w:style w:type="character" w:customStyle="1" w:styleId="TekstprzypisudolnegoZnak">
    <w:name w:val="Tekst przypisu dolnego Znak"/>
    <w:basedOn w:val="Domylnaczcionkaakapitu"/>
    <w:link w:val="Tekstprzypisudolnego"/>
    <w:uiPriority w:val="99"/>
    <w:semiHidden/>
    <w:rsid w:val="006B6BE5"/>
    <w:rPr>
      <w:sz w:val="20"/>
      <w:szCs w:val="20"/>
    </w:rPr>
  </w:style>
  <w:style w:type="character" w:styleId="Odwoanieprzypisudolnego">
    <w:name w:val="footnote reference"/>
    <w:basedOn w:val="Domylnaczcionkaakapitu"/>
    <w:uiPriority w:val="99"/>
    <w:semiHidden/>
    <w:unhideWhenUsed/>
    <w:rsid w:val="006B6BE5"/>
    <w:rPr>
      <w:vertAlign w:val="superscript"/>
    </w:rPr>
  </w:style>
  <w:style w:type="paragraph" w:styleId="Nagwek">
    <w:name w:val="header"/>
    <w:basedOn w:val="Normalny"/>
    <w:link w:val="NagwekZnak"/>
    <w:uiPriority w:val="99"/>
    <w:unhideWhenUsed/>
    <w:rsid w:val="00691330"/>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691330"/>
    <w:rPr>
      <w:rFonts w:eastAsiaTheme="minorEastAsia"/>
      <w:sz w:val="20"/>
      <w:szCs w:val="20"/>
      <w:lang w:eastAsia="pl-PL"/>
    </w:rPr>
  </w:style>
  <w:style w:type="paragraph" w:styleId="Stopka">
    <w:name w:val="footer"/>
    <w:basedOn w:val="Normalny"/>
    <w:link w:val="StopkaZnak"/>
    <w:uiPriority w:val="99"/>
    <w:unhideWhenUsed/>
    <w:rsid w:val="00691330"/>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691330"/>
    <w:rPr>
      <w:rFonts w:eastAsiaTheme="minorEastAsi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ane.gov.pl/pl/knowledgebase/useful-materials/standardy-otwartosci-dany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creativecommons.org/licenses/" TargetMode="External"/><Relationship Id="rId2" Type="http://schemas.openxmlformats.org/officeDocument/2006/relationships/hyperlink" Target="http://opendefinition.org/" TargetMode="External"/><Relationship Id="rId1" Type="http://schemas.openxmlformats.org/officeDocument/2006/relationships/hyperlink" Target="https://eur-lex.europa.eu/legal-content/PL/TXT/?uri=CELEX%3A52014XC0724%2801%2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15668</Words>
  <Characters>94011</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109461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2021-01-11T09:21:00Z</dcterms:created>
  <dcterms:modified xsi:type="dcterms:W3CDTF">2021-01-11T09:21:00Z</dcterms:modified>
</cp:coreProperties>
</file>